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EA4403">
      <w:pPr>
        <w:tabs>
          <w:tab w:val="left" w:pos="315"/>
          <w:tab w:val="left" w:pos="8820"/>
        </w:tabs>
        <w:spacing w:before="312" w:beforeLines="100" w:after="156" w:afterLines="50" w:line="500" w:lineRule="exact"/>
        <w:ind w:right="267" w:rightChars="127"/>
        <w:jc w:val="center"/>
        <w:rPr>
          <w:rFonts w:hint="eastAsia" w:ascii="宋体" w:hAnsi="宋体" w:eastAsia="宋体"/>
          <w:b/>
          <w:bCs/>
          <w:color w:val="auto"/>
          <w:sz w:val="52"/>
          <w:szCs w:val="52"/>
          <w:highlight w:val="none"/>
        </w:rPr>
      </w:pPr>
    </w:p>
    <w:p w14:paraId="514001E7">
      <w:pPr>
        <w:tabs>
          <w:tab w:val="left" w:pos="315"/>
          <w:tab w:val="left" w:pos="8820"/>
        </w:tabs>
        <w:spacing w:before="312" w:beforeLines="100" w:after="156" w:afterLines="50" w:line="500" w:lineRule="exact"/>
        <w:ind w:right="267" w:rightChars="127"/>
        <w:jc w:val="center"/>
        <w:rPr>
          <w:rFonts w:hint="eastAsia" w:ascii="宋体" w:hAnsi="宋体" w:eastAsia="宋体"/>
          <w:b/>
          <w:bCs/>
          <w:color w:val="auto"/>
          <w:sz w:val="52"/>
          <w:szCs w:val="52"/>
          <w:highlight w:val="none"/>
        </w:rPr>
      </w:pPr>
    </w:p>
    <w:p w14:paraId="1F95DA74">
      <w:pPr>
        <w:tabs>
          <w:tab w:val="left" w:pos="315"/>
          <w:tab w:val="left" w:pos="8820"/>
        </w:tabs>
        <w:spacing w:before="312" w:beforeLines="100" w:after="156" w:afterLines="50" w:line="500" w:lineRule="exact"/>
        <w:ind w:right="267" w:rightChars="127"/>
        <w:jc w:val="center"/>
        <w:rPr>
          <w:rFonts w:hint="eastAsia" w:ascii="宋体" w:hAnsi="宋体" w:eastAsia="宋体"/>
          <w:b/>
          <w:bCs/>
          <w:color w:val="auto"/>
          <w:sz w:val="52"/>
          <w:szCs w:val="52"/>
          <w:highlight w:val="none"/>
        </w:rPr>
      </w:pPr>
      <w:bookmarkStart w:id="0" w:name="_Hlk9544796"/>
      <w:r>
        <w:rPr>
          <w:rFonts w:hint="eastAsia" w:ascii="宋体" w:hAnsi="宋体" w:eastAsia="宋体"/>
          <w:b/>
          <w:bCs/>
          <w:color w:val="auto"/>
          <w:sz w:val="52"/>
          <w:szCs w:val="52"/>
          <w:highlight w:val="none"/>
        </w:rPr>
        <w:t>安徽省政府采购项目</w:t>
      </w:r>
    </w:p>
    <w:p w14:paraId="52EA5E52">
      <w:pPr>
        <w:tabs>
          <w:tab w:val="left" w:pos="315"/>
          <w:tab w:val="left" w:pos="8820"/>
        </w:tabs>
        <w:spacing w:before="312" w:beforeLines="100" w:after="156" w:afterLines="50" w:line="500" w:lineRule="exact"/>
        <w:ind w:right="267" w:rightChars="127"/>
        <w:jc w:val="center"/>
        <w:rPr>
          <w:rFonts w:hint="eastAsia" w:ascii="宋体" w:hAnsi="宋体" w:eastAsia="宋体"/>
          <w:b/>
          <w:bCs/>
          <w:color w:val="auto"/>
          <w:sz w:val="52"/>
          <w:szCs w:val="52"/>
          <w:highlight w:val="none"/>
        </w:rPr>
      </w:pPr>
      <w:r>
        <w:rPr>
          <w:rFonts w:hint="eastAsia" w:ascii="宋体" w:hAnsi="宋体" w:eastAsia="宋体"/>
          <w:b/>
          <w:bCs/>
          <w:color w:val="auto"/>
          <w:sz w:val="52"/>
          <w:szCs w:val="52"/>
          <w:highlight w:val="none"/>
        </w:rPr>
        <w:t>公开招标文件</w:t>
      </w:r>
      <w:bookmarkEnd w:id="0"/>
      <w:r>
        <w:rPr>
          <w:rFonts w:hint="eastAsia" w:ascii="宋体" w:hAnsi="宋体" w:eastAsia="宋体"/>
          <w:b/>
          <w:bCs/>
          <w:color w:val="auto"/>
          <w:sz w:val="52"/>
          <w:szCs w:val="52"/>
          <w:highlight w:val="none"/>
        </w:rPr>
        <w:t>（货物类）</w:t>
      </w:r>
    </w:p>
    <w:p w14:paraId="043142E3">
      <w:pPr>
        <w:tabs>
          <w:tab w:val="left" w:pos="315"/>
          <w:tab w:val="left" w:pos="8820"/>
        </w:tabs>
        <w:spacing w:before="312" w:beforeLines="100" w:after="156" w:afterLines="50" w:line="500" w:lineRule="exact"/>
        <w:ind w:right="267" w:rightChars="127"/>
        <w:jc w:val="center"/>
        <w:rPr>
          <w:rFonts w:hint="eastAsia" w:ascii="宋体" w:hAnsi="宋体" w:eastAsia="宋体"/>
          <w:b/>
          <w:bCs/>
          <w:color w:val="auto"/>
          <w:sz w:val="52"/>
          <w:szCs w:val="52"/>
          <w:highlight w:val="none"/>
        </w:rPr>
      </w:pPr>
      <w:r>
        <w:rPr>
          <w:rFonts w:hint="eastAsia" w:ascii="宋体" w:hAnsi="宋体" w:eastAsia="宋体"/>
          <w:b/>
          <w:bCs/>
          <w:color w:val="auto"/>
          <w:sz w:val="52"/>
          <w:szCs w:val="52"/>
          <w:highlight w:val="none"/>
        </w:rPr>
        <w:t>（2026年版）</w:t>
      </w:r>
    </w:p>
    <w:p w14:paraId="70DFC2CC">
      <w:pPr>
        <w:tabs>
          <w:tab w:val="left" w:pos="315"/>
          <w:tab w:val="left" w:pos="8820"/>
        </w:tabs>
        <w:spacing w:before="312" w:beforeLines="100" w:after="156" w:afterLines="50" w:line="500" w:lineRule="exact"/>
        <w:ind w:right="267" w:rightChars="127"/>
        <w:jc w:val="center"/>
        <w:rPr>
          <w:rFonts w:hint="eastAsia" w:ascii="宋体" w:hAnsi="宋体" w:eastAsia="宋体"/>
          <w:b/>
          <w:bCs/>
          <w:color w:val="auto"/>
          <w:sz w:val="44"/>
          <w:szCs w:val="44"/>
          <w:highlight w:val="none"/>
        </w:rPr>
      </w:pPr>
    </w:p>
    <w:p w14:paraId="5340FF20">
      <w:pPr>
        <w:tabs>
          <w:tab w:val="left" w:pos="315"/>
          <w:tab w:val="left" w:pos="8820"/>
        </w:tabs>
        <w:spacing w:before="312" w:beforeLines="100" w:after="156" w:afterLines="50" w:line="500" w:lineRule="exact"/>
        <w:ind w:right="267" w:rightChars="127"/>
        <w:jc w:val="center"/>
        <w:rPr>
          <w:rFonts w:hint="eastAsia" w:ascii="宋体" w:hAnsi="宋体" w:eastAsia="宋体"/>
          <w:b/>
          <w:bCs/>
          <w:color w:val="auto"/>
          <w:sz w:val="44"/>
          <w:szCs w:val="44"/>
          <w:highlight w:val="none"/>
        </w:rPr>
      </w:pPr>
    </w:p>
    <w:p w14:paraId="7F884191">
      <w:pPr>
        <w:tabs>
          <w:tab w:val="left" w:pos="315"/>
          <w:tab w:val="left" w:pos="8820"/>
        </w:tabs>
        <w:spacing w:before="312" w:beforeLines="100" w:after="156" w:afterLines="50" w:line="500" w:lineRule="exact"/>
        <w:ind w:right="267" w:rightChars="127"/>
        <w:jc w:val="center"/>
        <w:rPr>
          <w:rFonts w:hint="eastAsia" w:ascii="宋体" w:hAnsi="宋体" w:eastAsia="宋体"/>
          <w:b/>
          <w:bCs/>
          <w:color w:val="auto"/>
          <w:sz w:val="44"/>
          <w:szCs w:val="44"/>
          <w:highlight w:val="none"/>
        </w:rPr>
      </w:pPr>
    </w:p>
    <w:p w14:paraId="29485ACD">
      <w:pPr>
        <w:tabs>
          <w:tab w:val="left" w:pos="315"/>
          <w:tab w:val="left" w:pos="8820"/>
        </w:tabs>
        <w:spacing w:before="312" w:beforeLines="100" w:after="156" w:afterLines="50" w:line="500" w:lineRule="exact"/>
        <w:ind w:right="267" w:rightChars="127"/>
        <w:jc w:val="center"/>
        <w:rPr>
          <w:rFonts w:hint="eastAsia" w:ascii="宋体" w:hAnsi="宋体" w:eastAsia="宋体"/>
          <w:b/>
          <w:bCs/>
          <w:color w:val="auto"/>
          <w:sz w:val="44"/>
          <w:szCs w:val="44"/>
          <w:highlight w:val="none"/>
        </w:rPr>
      </w:pPr>
    </w:p>
    <w:p w14:paraId="57D03F84">
      <w:pPr>
        <w:tabs>
          <w:tab w:val="left" w:pos="315"/>
          <w:tab w:val="left" w:pos="8820"/>
        </w:tabs>
        <w:spacing w:before="312" w:beforeLines="100" w:after="156" w:afterLines="50" w:line="500" w:lineRule="exact"/>
        <w:ind w:right="267" w:rightChars="127"/>
        <w:jc w:val="center"/>
        <w:rPr>
          <w:rFonts w:hint="eastAsia" w:ascii="宋体" w:hAnsi="宋体" w:eastAsia="宋体"/>
          <w:b/>
          <w:bCs/>
          <w:color w:val="auto"/>
          <w:sz w:val="44"/>
          <w:szCs w:val="44"/>
          <w:highlight w:val="none"/>
        </w:rPr>
      </w:pPr>
    </w:p>
    <w:p w14:paraId="6B218B02">
      <w:pPr>
        <w:tabs>
          <w:tab w:val="left" w:pos="2410"/>
        </w:tabs>
        <w:autoSpaceDE w:val="0"/>
        <w:autoSpaceDN w:val="0"/>
        <w:adjustRightInd w:val="0"/>
        <w:snapToGrid w:val="0"/>
        <w:spacing w:line="360" w:lineRule="auto"/>
        <w:ind w:firstLine="723" w:firstLineChars="200"/>
        <w:rPr>
          <w:rFonts w:hint="eastAsia" w:ascii="宋体" w:hAnsi="宋体" w:eastAsia="宋体"/>
          <w:b/>
          <w:color w:val="auto"/>
          <w:spacing w:val="20"/>
          <w:kern w:val="0"/>
          <w:sz w:val="32"/>
          <w:szCs w:val="32"/>
          <w:highlight w:val="none"/>
        </w:rPr>
      </w:pPr>
      <w:r>
        <w:rPr>
          <w:rFonts w:hint="eastAsia" w:ascii="宋体" w:hAnsi="宋体" w:eastAsia="宋体"/>
          <w:b/>
          <w:color w:val="auto"/>
          <w:spacing w:val="20"/>
          <w:kern w:val="0"/>
          <w:sz w:val="32"/>
          <w:szCs w:val="32"/>
          <w:highlight w:val="none"/>
        </w:rPr>
        <w:t>项目名称：濉溪县中医医院医共体资源共享中心建设工程</w:t>
      </w:r>
    </w:p>
    <w:p w14:paraId="00DEC6B0">
      <w:pPr>
        <w:tabs>
          <w:tab w:val="left" w:pos="2410"/>
        </w:tabs>
        <w:autoSpaceDE w:val="0"/>
        <w:autoSpaceDN w:val="0"/>
        <w:adjustRightInd w:val="0"/>
        <w:snapToGrid w:val="0"/>
        <w:spacing w:line="360" w:lineRule="auto"/>
        <w:ind w:firstLine="723" w:firstLineChars="200"/>
        <w:rPr>
          <w:rFonts w:hint="eastAsia" w:ascii="宋体" w:hAnsi="宋体" w:eastAsia="宋体"/>
          <w:b/>
          <w:color w:val="auto"/>
          <w:spacing w:val="20"/>
          <w:kern w:val="0"/>
          <w:sz w:val="32"/>
          <w:szCs w:val="32"/>
          <w:highlight w:val="none"/>
        </w:rPr>
      </w:pPr>
      <w:r>
        <w:rPr>
          <w:rFonts w:hint="eastAsia" w:ascii="宋体" w:hAnsi="宋体" w:eastAsia="宋体"/>
          <w:b/>
          <w:color w:val="auto"/>
          <w:spacing w:val="20"/>
          <w:kern w:val="0"/>
          <w:sz w:val="32"/>
          <w:szCs w:val="32"/>
          <w:highlight w:val="none"/>
        </w:rPr>
        <w:t>项目编号：SXCG</w:t>
      </w:r>
    </w:p>
    <w:p w14:paraId="7D790442">
      <w:pPr>
        <w:tabs>
          <w:tab w:val="left" w:pos="2410"/>
        </w:tabs>
        <w:autoSpaceDE w:val="0"/>
        <w:autoSpaceDN w:val="0"/>
        <w:adjustRightInd w:val="0"/>
        <w:snapToGrid w:val="0"/>
        <w:spacing w:line="360" w:lineRule="auto"/>
        <w:ind w:firstLine="723" w:firstLineChars="200"/>
        <w:rPr>
          <w:rFonts w:hint="eastAsia" w:ascii="宋体" w:hAnsi="宋体" w:eastAsia="宋体"/>
          <w:b/>
          <w:color w:val="auto"/>
          <w:spacing w:val="20"/>
          <w:kern w:val="0"/>
          <w:sz w:val="32"/>
          <w:szCs w:val="32"/>
          <w:highlight w:val="none"/>
        </w:rPr>
      </w:pPr>
      <w:r>
        <w:rPr>
          <w:rFonts w:hint="eastAsia" w:ascii="宋体" w:hAnsi="宋体" w:eastAsia="宋体"/>
          <w:b/>
          <w:color w:val="auto"/>
          <w:spacing w:val="20"/>
          <w:kern w:val="0"/>
          <w:sz w:val="32"/>
          <w:szCs w:val="32"/>
          <w:highlight w:val="none"/>
        </w:rPr>
        <w:t>采 购 人：濉溪县中医医院</w:t>
      </w:r>
    </w:p>
    <w:p w14:paraId="26A54C45">
      <w:pPr>
        <w:tabs>
          <w:tab w:val="left" w:pos="2410"/>
        </w:tabs>
        <w:autoSpaceDE w:val="0"/>
        <w:autoSpaceDN w:val="0"/>
        <w:adjustRightInd w:val="0"/>
        <w:snapToGrid w:val="0"/>
        <w:spacing w:line="360" w:lineRule="auto"/>
        <w:ind w:firstLine="723" w:firstLineChars="200"/>
        <w:rPr>
          <w:rFonts w:hint="eastAsia" w:ascii="宋体" w:hAnsi="宋体" w:eastAsia="宋体"/>
          <w:b/>
          <w:color w:val="auto"/>
          <w:spacing w:val="20"/>
          <w:kern w:val="0"/>
          <w:sz w:val="32"/>
          <w:szCs w:val="32"/>
          <w:highlight w:val="none"/>
        </w:rPr>
      </w:pPr>
      <w:r>
        <w:rPr>
          <w:rFonts w:hint="eastAsia" w:ascii="宋体" w:hAnsi="宋体" w:eastAsia="宋体"/>
          <w:b/>
          <w:color w:val="auto"/>
          <w:spacing w:val="20"/>
          <w:kern w:val="0"/>
          <w:sz w:val="32"/>
          <w:szCs w:val="32"/>
          <w:highlight w:val="none"/>
        </w:rPr>
        <w:t>采购代理机构：安徽省招标集团股份有限公司</w:t>
      </w:r>
    </w:p>
    <w:p w14:paraId="2E6BAE7C">
      <w:pPr>
        <w:tabs>
          <w:tab w:val="left" w:pos="315"/>
          <w:tab w:val="left" w:pos="8820"/>
        </w:tabs>
        <w:spacing w:before="312" w:beforeLines="100" w:after="156" w:afterLines="50" w:line="500" w:lineRule="exact"/>
        <w:ind w:right="267" w:rightChars="127"/>
        <w:jc w:val="center"/>
        <w:rPr>
          <w:rFonts w:hint="eastAsia" w:ascii="宋体" w:hAnsi="宋体" w:eastAsia="宋体"/>
          <w:b/>
          <w:bCs/>
          <w:color w:val="auto"/>
          <w:sz w:val="44"/>
          <w:szCs w:val="44"/>
          <w:highlight w:val="none"/>
        </w:rPr>
      </w:pPr>
    </w:p>
    <w:p w14:paraId="7411A675">
      <w:pPr>
        <w:tabs>
          <w:tab w:val="left" w:pos="2410"/>
        </w:tabs>
        <w:autoSpaceDE w:val="0"/>
        <w:autoSpaceDN w:val="0"/>
        <w:adjustRightInd w:val="0"/>
        <w:snapToGrid w:val="0"/>
        <w:spacing w:line="360" w:lineRule="auto"/>
        <w:jc w:val="center"/>
        <w:rPr>
          <w:rFonts w:hint="eastAsia" w:ascii="宋体" w:hAnsi="宋体" w:eastAsia="宋体"/>
          <w:b/>
          <w:color w:val="auto"/>
          <w:sz w:val="36"/>
          <w:highlight w:val="none"/>
        </w:rPr>
      </w:pPr>
      <w:r>
        <w:rPr>
          <w:rFonts w:hint="eastAsia" w:ascii="宋体" w:hAnsi="宋体" w:eastAsia="宋体"/>
          <w:b/>
          <w:color w:val="auto"/>
          <w:sz w:val="36"/>
          <w:highlight w:val="none"/>
        </w:rPr>
        <w:t>2026年6月</w:t>
      </w:r>
      <w:r>
        <w:rPr>
          <w:rFonts w:ascii="宋体" w:hAnsi="宋体" w:eastAsia="宋体"/>
          <w:b/>
          <w:color w:val="auto"/>
          <w:sz w:val="36"/>
          <w:highlight w:val="none"/>
        </w:rPr>
        <w:br w:type="page"/>
      </w:r>
    </w:p>
    <w:p w14:paraId="642BC76B">
      <w:pPr>
        <w:tabs>
          <w:tab w:val="left" w:pos="2410"/>
        </w:tabs>
        <w:autoSpaceDE w:val="0"/>
        <w:autoSpaceDN w:val="0"/>
        <w:adjustRightInd w:val="0"/>
        <w:snapToGrid w:val="0"/>
        <w:spacing w:line="360" w:lineRule="auto"/>
        <w:jc w:val="center"/>
        <w:rPr>
          <w:rFonts w:hint="eastAsia" w:ascii="宋体" w:hAnsi="宋体" w:eastAsia="宋体"/>
          <w:b/>
          <w:color w:val="auto"/>
          <w:sz w:val="28"/>
          <w:highlight w:val="none"/>
        </w:rPr>
      </w:pPr>
      <w:r>
        <w:rPr>
          <w:rFonts w:hint="eastAsia" w:ascii="宋体" w:hAnsi="宋体" w:eastAsia="宋体"/>
          <w:b/>
          <w:color w:val="auto"/>
          <w:sz w:val="28"/>
          <w:highlight w:val="none"/>
        </w:rPr>
        <w:t>目  录</w:t>
      </w:r>
    </w:p>
    <w:p w14:paraId="7E8E49E1">
      <w:pPr>
        <w:pStyle w:val="17"/>
        <w:tabs>
          <w:tab w:val="right" w:leader="dot" w:pos="8296"/>
        </w:tabs>
        <w:rPr>
          <w:bCs/>
          <w:color w:val="auto"/>
          <w:kern w:val="2"/>
          <w:szCs w:val="24"/>
          <w:highlight w:val="none"/>
          <w14:ligatures w14:val="standardContextual"/>
        </w:rPr>
      </w:pPr>
      <w:r>
        <w:rPr>
          <w:rFonts w:asciiTheme="minorEastAsia" w:hAnsiTheme="minorEastAsia"/>
          <w:bCs/>
          <w:color w:val="auto"/>
          <w:sz w:val="24"/>
          <w:szCs w:val="24"/>
          <w:highlight w:val="none"/>
        </w:rPr>
        <w:fldChar w:fldCharType="begin"/>
      </w:r>
      <w:r>
        <w:rPr>
          <w:rFonts w:asciiTheme="minorEastAsia" w:hAnsiTheme="minorEastAsia"/>
          <w:bCs/>
          <w:color w:val="auto"/>
          <w:sz w:val="24"/>
          <w:szCs w:val="24"/>
          <w:highlight w:val="none"/>
        </w:rPr>
        <w:instrText xml:space="preserve"> </w:instrText>
      </w:r>
      <w:r>
        <w:rPr>
          <w:rFonts w:hint="eastAsia" w:asciiTheme="minorEastAsia" w:hAnsiTheme="minorEastAsia"/>
          <w:bCs/>
          <w:color w:val="auto"/>
          <w:sz w:val="24"/>
          <w:szCs w:val="24"/>
          <w:highlight w:val="none"/>
        </w:rPr>
        <w:instrText xml:space="preserve">TOC \o "1-2" \h \z \u</w:instrText>
      </w:r>
      <w:r>
        <w:rPr>
          <w:rFonts w:asciiTheme="minorEastAsia" w:hAnsiTheme="minorEastAsia"/>
          <w:bCs/>
          <w:color w:val="auto"/>
          <w:sz w:val="24"/>
          <w:szCs w:val="24"/>
          <w:highlight w:val="none"/>
        </w:rPr>
        <w:instrText xml:space="preserve"> </w:instrText>
      </w:r>
      <w:r>
        <w:rPr>
          <w:rFonts w:asciiTheme="minorEastAsia" w:hAnsiTheme="minorEastAsia"/>
          <w:bCs/>
          <w:color w:val="auto"/>
          <w:sz w:val="24"/>
          <w:szCs w:val="24"/>
          <w:highlight w:val="none"/>
        </w:rPr>
        <w:fldChar w:fldCharType="separate"/>
      </w:r>
      <w:r>
        <w:rPr>
          <w:color w:val="auto"/>
          <w:highlight w:val="none"/>
        </w:rPr>
        <w:fldChar w:fldCharType="begin"/>
      </w:r>
      <w:r>
        <w:rPr>
          <w:color w:val="auto"/>
          <w:highlight w:val="none"/>
        </w:rPr>
        <w:instrText xml:space="preserve"> HYPERLINK \l "_Toc221656344" </w:instrText>
      </w:r>
      <w:r>
        <w:rPr>
          <w:color w:val="auto"/>
          <w:highlight w:val="none"/>
        </w:rPr>
        <w:fldChar w:fldCharType="separate"/>
      </w:r>
      <w:r>
        <w:rPr>
          <w:rStyle w:val="30"/>
          <w:rFonts w:hint="eastAsia" w:asciiTheme="minorEastAsia" w:hAnsiTheme="minorEastAsia"/>
          <w:bCs/>
          <w:color w:val="auto"/>
          <w:highlight w:val="none"/>
        </w:rPr>
        <w:t>第一章  投标邀请</w:t>
      </w:r>
      <w:r>
        <w:rPr>
          <w:rFonts w:hint="eastAsia"/>
          <w:bCs/>
          <w:color w:val="auto"/>
          <w:highlight w:val="none"/>
        </w:rPr>
        <w:tab/>
      </w:r>
      <w:r>
        <w:rPr>
          <w:rFonts w:hint="eastAsia"/>
          <w:bCs/>
          <w:color w:val="auto"/>
          <w:highlight w:val="none"/>
        </w:rPr>
        <w:fldChar w:fldCharType="begin"/>
      </w:r>
      <w:r>
        <w:rPr>
          <w:rFonts w:hint="eastAsia"/>
          <w:bCs/>
          <w:color w:val="auto"/>
          <w:highlight w:val="none"/>
        </w:rPr>
        <w:instrText xml:space="preserve"> </w:instrText>
      </w:r>
      <w:r>
        <w:rPr>
          <w:bCs/>
          <w:color w:val="auto"/>
          <w:highlight w:val="none"/>
        </w:rPr>
        <w:instrText xml:space="preserve">PAGEREF _Toc221656344 \h</w:instrText>
      </w:r>
      <w:r>
        <w:rPr>
          <w:rFonts w:hint="eastAsia"/>
          <w:bCs/>
          <w:color w:val="auto"/>
          <w:highlight w:val="none"/>
        </w:rPr>
        <w:instrText xml:space="preserve"> </w:instrText>
      </w:r>
      <w:r>
        <w:rPr>
          <w:rFonts w:hint="eastAsia"/>
          <w:bCs/>
          <w:color w:val="auto"/>
          <w:highlight w:val="none"/>
        </w:rPr>
        <w:fldChar w:fldCharType="separate"/>
      </w:r>
      <w:r>
        <w:rPr>
          <w:bCs/>
          <w:color w:val="auto"/>
          <w:highlight w:val="none"/>
        </w:rPr>
        <w:t>1</w:t>
      </w:r>
      <w:r>
        <w:rPr>
          <w:rFonts w:hint="eastAsia"/>
          <w:bCs/>
          <w:color w:val="auto"/>
          <w:highlight w:val="none"/>
        </w:rPr>
        <w:fldChar w:fldCharType="end"/>
      </w:r>
      <w:r>
        <w:rPr>
          <w:rFonts w:hint="eastAsia"/>
          <w:bCs/>
          <w:color w:val="auto"/>
          <w:highlight w:val="none"/>
        </w:rPr>
        <w:fldChar w:fldCharType="end"/>
      </w:r>
    </w:p>
    <w:p w14:paraId="33B5402A">
      <w:pPr>
        <w:pStyle w:val="17"/>
        <w:tabs>
          <w:tab w:val="right" w:leader="dot" w:pos="8296"/>
        </w:tabs>
        <w:rPr>
          <w:bCs/>
          <w:color w:val="auto"/>
          <w:kern w:val="2"/>
          <w:szCs w:val="24"/>
          <w:highlight w:val="none"/>
          <w14:ligatures w14:val="standardContextual"/>
        </w:rPr>
      </w:pPr>
      <w:r>
        <w:rPr>
          <w:color w:val="auto"/>
          <w:highlight w:val="none"/>
        </w:rPr>
        <w:fldChar w:fldCharType="begin"/>
      </w:r>
      <w:r>
        <w:rPr>
          <w:color w:val="auto"/>
          <w:highlight w:val="none"/>
        </w:rPr>
        <w:instrText xml:space="preserve"> HYPERLINK \l "_Toc221656353" </w:instrText>
      </w:r>
      <w:r>
        <w:rPr>
          <w:color w:val="auto"/>
          <w:highlight w:val="none"/>
        </w:rPr>
        <w:fldChar w:fldCharType="separate"/>
      </w:r>
      <w:r>
        <w:rPr>
          <w:rStyle w:val="30"/>
          <w:rFonts w:hint="eastAsia" w:asciiTheme="minorEastAsia" w:hAnsiTheme="minorEastAsia"/>
          <w:bCs/>
          <w:color w:val="auto"/>
          <w:highlight w:val="none"/>
        </w:rPr>
        <w:t>第二章  投标人须知</w:t>
      </w:r>
      <w:r>
        <w:rPr>
          <w:rFonts w:hint="eastAsia"/>
          <w:bCs/>
          <w:color w:val="auto"/>
          <w:highlight w:val="none"/>
        </w:rPr>
        <w:tab/>
      </w:r>
      <w:r>
        <w:rPr>
          <w:rFonts w:hint="eastAsia"/>
          <w:bCs/>
          <w:color w:val="auto"/>
          <w:highlight w:val="none"/>
        </w:rPr>
        <w:fldChar w:fldCharType="begin"/>
      </w:r>
      <w:r>
        <w:rPr>
          <w:rFonts w:hint="eastAsia"/>
          <w:bCs/>
          <w:color w:val="auto"/>
          <w:highlight w:val="none"/>
        </w:rPr>
        <w:instrText xml:space="preserve"> </w:instrText>
      </w:r>
      <w:r>
        <w:rPr>
          <w:bCs/>
          <w:color w:val="auto"/>
          <w:highlight w:val="none"/>
        </w:rPr>
        <w:instrText xml:space="preserve">PAGEREF _Toc221656353 \h</w:instrText>
      </w:r>
      <w:r>
        <w:rPr>
          <w:rFonts w:hint="eastAsia"/>
          <w:bCs/>
          <w:color w:val="auto"/>
          <w:highlight w:val="none"/>
        </w:rPr>
        <w:instrText xml:space="preserve"> </w:instrText>
      </w:r>
      <w:r>
        <w:rPr>
          <w:rFonts w:hint="eastAsia"/>
          <w:bCs/>
          <w:color w:val="auto"/>
          <w:highlight w:val="none"/>
        </w:rPr>
        <w:fldChar w:fldCharType="separate"/>
      </w:r>
      <w:r>
        <w:rPr>
          <w:bCs/>
          <w:color w:val="auto"/>
          <w:highlight w:val="none"/>
        </w:rPr>
        <w:t>5</w:t>
      </w:r>
      <w:r>
        <w:rPr>
          <w:rFonts w:hint="eastAsia"/>
          <w:bCs/>
          <w:color w:val="auto"/>
          <w:highlight w:val="none"/>
        </w:rPr>
        <w:fldChar w:fldCharType="end"/>
      </w:r>
      <w:r>
        <w:rPr>
          <w:rFonts w:hint="eastAsia"/>
          <w:bCs/>
          <w:color w:val="auto"/>
          <w:highlight w:val="none"/>
        </w:rPr>
        <w:fldChar w:fldCharType="end"/>
      </w:r>
    </w:p>
    <w:p w14:paraId="4B6B55D0">
      <w:pPr>
        <w:pStyle w:val="17"/>
        <w:tabs>
          <w:tab w:val="right" w:leader="dot" w:pos="8296"/>
        </w:tabs>
        <w:rPr>
          <w:bCs/>
          <w:color w:val="auto"/>
          <w:kern w:val="2"/>
          <w:szCs w:val="24"/>
          <w:highlight w:val="none"/>
          <w14:ligatures w14:val="standardContextual"/>
        </w:rPr>
      </w:pPr>
      <w:r>
        <w:rPr>
          <w:color w:val="auto"/>
          <w:highlight w:val="none"/>
        </w:rPr>
        <w:fldChar w:fldCharType="begin"/>
      </w:r>
      <w:r>
        <w:rPr>
          <w:color w:val="auto"/>
          <w:highlight w:val="none"/>
        </w:rPr>
        <w:instrText xml:space="preserve"> HYPERLINK \l "_Toc221656356" </w:instrText>
      </w:r>
      <w:r>
        <w:rPr>
          <w:color w:val="auto"/>
          <w:highlight w:val="none"/>
        </w:rPr>
        <w:fldChar w:fldCharType="separate"/>
      </w:r>
      <w:r>
        <w:rPr>
          <w:rStyle w:val="30"/>
          <w:rFonts w:hint="eastAsia" w:asciiTheme="minorEastAsia" w:hAnsiTheme="minorEastAsia"/>
          <w:bCs/>
          <w:color w:val="auto"/>
          <w:highlight w:val="none"/>
        </w:rPr>
        <w:t>第三章  采购需求</w:t>
      </w:r>
      <w:r>
        <w:rPr>
          <w:rFonts w:hint="eastAsia"/>
          <w:bCs/>
          <w:color w:val="auto"/>
          <w:highlight w:val="none"/>
        </w:rPr>
        <w:tab/>
      </w:r>
      <w:r>
        <w:rPr>
          <w:rFonts w:hint="eastAsia"/>
          <w:bCs/>
          <w:color w:val="auto"/>
          <w:highlight w:val="none"/>
        </w:rPr>
        <w:fldChar w:fldCharType="begin"/>
      </w:r>
      <w:r>
        <w:rPr>
          <w:rFonts w:hint="eastAsia"/>
          <w:bCs/>
          <w:color w:val="auto"/>
          <w:highlight w:val="none"/>
        </w:rPr>
        <w:instrText xml:space="preserve"> </w:instrText>
      </w:r>
      <w:r>
        <w:rPr>
          <w:bCs/>
          <w:color w:val="auto"/>
          <w:highlight w:val="none"/>
        </w:rPr>
        <w:instrText xml:space="preserve">PAGEREF _Toc221656356 \h</w:instrText>
      </w:r>
      <w:r>
        <w:rPr>
          <w:rFonts w:hint="eastAsia"/>
          <w:bCs/>
          <w:color w:val="auto"/>
          <w:highlight w:val="none"/>
        </w:rPr>
        <w:instrText xml:space="preserve"> </w:instrText>
      </w:r>
      <w:r>
        <w:rPr>
          <w:rFonts w:hint="eastAsia"/>
          <w:bCs/>
          <w:color w:val="auto"/>
          <w:highlight w:val="none"/>
        </w:rPr>
        <w:fldChar w:fldCharType="separate"/>
      </w:r>
      <w:r>
        <w:rPr>
          <w:bCs/>
          <w:color w:val="auto"/>
          <w:highlight w:val="none"/>
        </w:rPr>
        <w:t>24</w:t>
      </w:r>
      <w:r>
        <w:rPr>
          <w:rFonts w:hint="eastAsia"/>
          <w:bCs/>
          <w:color w:val="auto"/>
          <w:highlight w:val="none"/>
        </w:rPr>
        <w:fldChar w:fldCharType="end"/>
      </w:r>
      <w:r>
        <w:rPr>
          <w:rFonts w:hint="eastAsia"/>
          <w:bCs/>
          <w:color w:val="auto"/>
          <w:highlight w:val="none"/>
        </w:rPr>
        <w:fldChar w:fldCharType="end"/>
      </w:r>
    </w:p>
    <w:p w14:paraId="6FC7DC22">
      <w:pPr>
        <w:pStyle w:val="17"/>
        <w:tabs>
          <w:tab w:val="right" w:leader="dot" w:pos="8296"/>
        </w:tabs>
        <w:rPr>
          <w:bCs/>
          <w:color w:val="auto"/>
          <w:kern w:val="2"/>
          <w:szCs w:val="24"/>
          <w:highlight w:val="none"/>
          <w14:ligatures w14:val="standardContextual"/>
        </w:rPr>
      </w:pPr>
      <w:r>
        <w:rPr>
          <w:color w:val="auto"/>
          <w:highlight w:val="none"/>
        </w:rPr>
        <w:fldChar w:fldCharType="begin"/>
      </w:r>
      <w:r>
        <w:rPr>
          <w:color w:val="auto"/>
          <w:highlight w:val="none"/>
        </w:rPr>
        <w:instrText xml:space="preserve"> HYPERLINK \l "_Toc221656360" </w:instrText>
      </w:r>
      <w:r>
        <w:rPr>
          <w:color w:val="auto"/>
          <w:highlight w:val="none"/>
        </w:rPr>
        <w:fldChar w:fldCharType="separate"/>
      </w:r>
      <w:r>
        <w:rPr>
          <w:rStyle w:val="30"/>
          <w:rFonts w:hint="eastAsia" w:asciiTheme="minorEastAsia" w:hAnsiTheme="minorEastAsia"/>
          <w:bCs/>
          <w:color w:val="auto"/>
          <w:highlight w:val="none"/>
        </w:rPr>
        <w:t>第四章  评标方法和标准（综合评分法）</w:t>
      </w:r>
      <w:r>
        <w:rPr>
          <w:rFonts w:hint="eastAsia"/>
          <w:bCs/>
          <w:color w:val="auto"/>
          <w:highlight w:val="none"/>
        </w:rPr>
        <w:tab/>
      </w:r>
      <w:r>
        <w:rPr>
          <w:rFonts w:hint="eastAsia"/>
          <w:bCs/>
          <w:color w:val="auto"/>
          <w:highlight w:val="none"/>
        </w:rPr>
        <w:fldChar w:fldCharType="begin"/>
      </w:r>
      <w:r>
        <w:rPr>
          <w:rFonts w:hint="eastAsia"/>
          <w:bCs/>
          <w:color w:val="auto"/>
          <w:highlight w:val="none"/>
        </w:rPr>
        <w:instrText xml:space="preserve"> </w:instrText>
      </w:r>
      <w:r>
        <w:rPr>
          <w:bCs/>
          <w:color w:val="auto"/>
          <w:highlight w:val="none"/>
        </w:rPr>
        <w:instrText xml:space="preserve">PAGEREF _Toc221656360 \h</w:instrText>
      </w:r>
      <w:r>
        <w:rPr>
          <w:rFonts w:hint="eastAsia"/>
          <w:bCs/>
          <w:color w:val="auto"/>
          <w:highlight w:val="none"/>
        </w:rPr>
        <w:instrText xml:space="preserve"> </w:instrText>
      </w:r>
      <w:r>
        <w:rPr>
          <w:rFonts w:hint="eastAsia"/>
          <w:bCs/>
          <w:color w:val="auto"/>
          <w:highlight w:val="none"/>
        </w:rPr>
        <w:fldChar w:fldCharType="separate"/>
      </w:r>
      <w:r>
        <w:rPr>
          <w:bCs/>
          <w:color w:val="auto"/>
          <w:highlight w:val="none"/>
        </w:rPr>
        <w:t>123</w:t>
      </w:r>
      <w:r>
        <w:rPr>
          <w:rFonts w:hint="eastAsia"/>
          <w:bCs/>
          <w:color w:val="auto"/>
          <w:highlight w:val="none"/>
        </w:rPr>
        <w:fldChar w:fldCharType="end"/>
      </w:r>
      <w:r>
        <w:rPr>
          <w:rFonts w:hint="eastAsia"/>
          <w:bCs/>
          <w:color w:val="auto"/>
          <w:highlight w:val="none"/>
        </w:rPr>
        <w:fldChar w:fldCharType="end"/>
      </w:r>
    </w:p>
    <w:p w14:paraId="615500CE">
      <w:pPr>
        <w:pStyle w:val="17"/>
        <w:tabs>
          <w:tab w:val="right" w:leader="dot" w:pos="8296"/>
        </w:tabs>
        <w:rPr>
          <w:bCs/>
          <w:color w:val="auto"/>
          <w:kern w:val="2"/>
          <w:szCs w:val="24"/>
          <w:highlight w:val="none"/>
          <w14:ligatures w14:val="standardContextual"/>
        </w:rPr>
      </w:pPr>
      <w:r>
        <w:rPr>
          <w:color w:val="auto"/>
          <w:highlight w:val="none"/>
        </w:rPr>
        <w:fldChar w:fldCharType="begin"/>
      </w:r>
      <w:r>
        <w:rPr>
          <w:color w:val="auto"/>
          <w:highlight w:val="none"/>
        </w:rPr>
        <w:instrText xml:space="preserve"> HYPERLINK \l "_Toc221656363" </w:instrText>
      </w:r>
      <w:r>
        <w:rPr>
          <w:color w:val="auto"/>
          <w:highlight w:val="none"/>
        </w:rPr>
        <w:fldChar w:fldCharType="separate"/>
      </w:r>
      <w:r>
        <w:rPr>
          <w:rStyle w:val="30"/>
          <w:rFonts w:hint="eastAsia" w:asciiTheme="minorEastAsia" w:hAnsiTheme="minorEastAsia"/>
          <w:bCs/>
          <w:color w:val="auto"/>
          <w:highlight w:val="none"/>
        </w:rPr>
        <w:t>第五章  政府采购合同</w:t>
      </w:r>
      <w:r>
        <w:rPr>
          <w:rFonts w:hint="eastAsia"/>
          <w:bCs/>
          <w:color w:val="auto"/>
          <w:highlight w:val="none"/>
        </w:rPr>
        <w:tab/>
      </w:r>
      <w:r>
        <w:rPr>
          <w:rFonts w:hint="eastAsia"/>
          <w:bCs/>
          <w:color w:val="auto"/>
          <w:highlight w:val="none"/>
        </w:rPr>
        <w:fldChar w:fldCharType="begin"/>
      </w:r>
      <w:r>
        <w:rPr>
          <w:rFonts w:hint="eastAsia"/>
          <w:bCs/>
          <w:color w:val="auto"/>
          <w:highlight w:val="none"/>
        </w:rPr>
        <w:instrText xml:space="preserve"> </w:instrText>
      </w:r>
      <w:r>
        <w:rPr>
          <w:bCs/>
          <w:color w:val="auto"/>
          <w:highlight w:val="none"/>
        </w:rPr>
        <w:instrText xml:space="preserve">PAGEREF _Toc221656363 \h</w:instrText>
      </w:r>
      <w:r>
        <w:rPr>
          <w:rFonts w:hint="eastAsia"/>
          <w:bCs/>
          <w:color w:val="auto"/>
          <w:highlight w:val="none"/>
        </w:rPr>
        <w:instrText xml:space="preserve"> </w:instrText>
      </w:r>
      <w:r>
        <w:rPr>
          <w:rFonts w:hint="eastAsia"/>
          <w:bCs/>
          <w:color w:val="auto"/>
          <w:highlight w:val="none"/>
        </w:rPr>
        <w:fldChar w:fldCharType="separate"/>
      </w:r>
      <w:r>
        <w:rPr>
          <w:bCs/>
          <w:color w:val="auto"/>
          <w:highlight w:val="none"/>
        </w:rPr>
        <w:t>165</w:t>
      </w:r>
      <w:r>
        <w:rPr>
          <w:rFonts w:hint="eastAsia"/>
          <w:bCs/>
          <w:color w:val="auto"/>
          <w:highlight w:val="none"/>
        </w:rPr>
        <w:fldChar w:fldCharType="end"/>
      </w:r>
      <w:r>
        <w:rPr>
          <w:rFonts w:hint="eastAsia"/>
          <w:bCs/>
          <w:color w:val="auto"/>
          <w:highlight w:val="none"/>
        </w:rPr>
        <w:fldChar w:fldCharType="end"/>
      </w:r>
    </w:p>
    <w:p w14:paraId="150CD3CD">
      <w:pPr>
        <w:pStyle w:val="17"/>
        <w:tabs>
          <w:tab w:val="right" w:leader="dot" w:pos="8296"/>
        </w:tabs>
        <w:rPr>
          <w:bCs/>
          <w:color w:val="auto"/>
          <w:kern w:val="2"/>
          <w:szCs w:val="24"/>
          <w:highlight w:val="none"/>
          <w14:ligatures w14:val="standardContextual"/>
        </w:rPr>
      </w:pPr>
      <w:r>
        <w:rPr>
          <w:color w:val="auto"/>
          <w:highlight w:val="none"/>
        </w:rPr>
        <w:fldChar w:fldCharType="begin"/>
      </w:r>
      <w:r>
        <w:rPr>
          <w:color w:val="auto"/>
          <w:highlight w:val="none"/>
        </w:rPr>
        <w:instrText xml:space="preserve"> HYPERLINK \l "_Toc221656367" </w:instrText>
      </w:r>
      <w:r>
        <w:rPr>
          <w:color w:val="auto"/>
          <w:highlight w:val="none"/>
        </w:rPr>
        <w:fldChar w:fldCharType="separate"/>
      </w:r>
      <w:r>
        <w:rPr>
          <w:rStyle w:val="30"/>
          <w:rFonts w:hint="eastAsia" w:asciiTheme="minorEastAsia" w:hAnsiTheme="minorEastAsia"/>
          <w:bCs/>
          <w:color w:val="auto"/>
          <w:highlight w:val="none"/>
        </w:rPr>
        <w:t>第六章  投标文件格式</w:t>
      </w:r>
      <w:r>
        <w:rPr>
          <w:rFonts w:hint="eastAsia"/>
          <w:bCs/>
          <w:color w:val="auto"/>
          <w:highlight w:val="none"/>
        </w:rPr>
        <w:tab/>
      </w:r>
      <w:r>
        <w:rPr>
          <w:rFonts w:hint="eastAsia"/>
          <w:bCs/>
          <w:color w:val="auto"/>
          <w:highlight w:val="none"/>
        </w:rPr>
        <w:fldChar w:fldCharType="begin"/>
      </w:r>
      <w:r>
        <w:rPr>
          <w:rFonts w:hint="eastAsia"/>
          <w:bCs/>
          <w:color w:val="auto"/>
          <w:highlight w:val="none"/>
        </w:rPr>
        <w:instrText xml:space="preserve"> </w:instrText>
      </w:r>
      <w:r>
        <w:rPr>
          <w:bCs/>
          <w:color w:val="auto"/>
          <w:highlight w:val="none"/>
        </w:rPr>
        <w:instrText xml:space="preserve">PAGEREF _Toc221656367 \h</w:instrText>
      </w:r>
      <w:r>
        <w:rPr>
          <w:rFonts w:hint="eastAsia"/>
          <w:bCs/>
          <w:color w:val="auto"/>
          <w:highlight w:val="none"/>
        </w:rPr>
        <w:instrText xml:space="preserve"> </w:instrText>
      </w:r>
      <w:r>
        <w:rPr>
          <w:rFonts w:hint="eastAsia"/>
          <w:bCs/>
          <w:color w:val="auto"/>
          <w:highlight w:val="none"/>
        </w:rPr>
        <w:fldChar w:fldCharType="separate"/>
      </w:r>
      <w:r>
        <w:rPr>
          <w:bCs/>
          <w:color w:val="auto"/>
          <w:highlight w:val="none"/>
        </w:rPr>
        <w:t>183</w:t>
      </w:r>
      <w:r>
        <w:rPr>
          <w:rFonts w:hint="eastAsia"/>
          <w:bCs/>
          <w:color w:val="auto"/>
          <w:highlight w:val="none"/>
        </w:rPr>
        <w:fldChar w:fldCharType="end"/>
      </w:r>
      <w:r>
        <w:rPr>
          <w:rFonts w:hint="eastAsia"/>
          <w:bCs/>
          <w:color w:val="auto"/>
          <w:highlight w:val="none"/>
        </w:rPr>
        <w:fldChar w:fldCharType="end"/>
      </w:r>
    </w:p>
    <w:p w14:paraId="282627B5">
      <w:pPr>
        <w:pStyle w:val="17"/>
        <w:tabs>
          <w:tab w:val="right" w:leader="dot" w:pos="8296"/>
        </w:tabs>
        <w:rPr>
          <w:bCs/>
          <w:color w:val="auto"/>
          <w:kern w:val="2"/>
          <w:szCs w:val="24"/>
          <w:highlight w:val="none"/>
          <w14:ligatures w14:val="standardContextual"/>
        </w:rPr>
      </w:pPr>
      <w:r>
        <w:rPr>
          <w:color w:val="auto"/>
          <w:highlight w:val="none"/>
        </w:rPr>
        <w:fldChar w:fldCharType="begin"/>
      </w:r>
      <w:r>
        <w:rPr>
          <w:color w:val="auto"/>
          <w:highlight w:val="none"/>
        </w:rPr>
        <w:instrText xml:space="preserve"> HYPERLINK \l "_Toc221656381" </w:instrText>
      </w:r>
      <w:r>
        <w:rPr>
          <w:color w:val="auto"/>
          <w:highlight w:val="none"/>
        </w:rPr>
        <w:fldChar w:fldCharType="separate"/>
      </w:r>
      <w:r>
        <w:rPr>
          <w:rStyle w:val="30"/>
          <w:rFonts w:hint="eastAsia" w:asciiTheme="minorEastAsia" w:hAnsiTheme="minorEastAsia"/>
          <w:bCs/>
          <w:color w:val="auto"/>
          <w:highlight w:val="none"/>
        </w:rPr>
        <w:t>第七章</w:t>
      </w:r>
      <w:r>
        <w:rPr>
          <w:rStyle w:val="30"/>
          <w:rFonts w:hint="eastAsia" w:ascii="宋体" w:hAnsi="宋体" w:eastAsia="宋体"/>
          <w:bCs/>
          <w:color w:val="auto"/>
          <w:highlight w:val="none"/>
        </w:rPr>
        <w:t xml:space="preserve">  政府采购</w:t>
      </w:r>
      <w:r>
        <w:rPr>
          <w:rStyle w:val="30"/>
          <w:rFonts w:hint="eastAsia" w:asciiTheme="minorEastAsia" w:hAnsiTheme="minorEastAsia"/>
          <w:bCs/>
          <w:color w:val="auto"/>
          <w:highlight w:val="none"/>
        </w:rPr>
        <w:t>供应</w:t>
      </w:r>
      <w:r>
        <w:rPr>
          <w:rStyle w:val="30"/>
          <w:rFonts w:hint="eastAsia" w:ascii="宋体" w:hAnsi="宋体" w:eastAsia="宋体"/>
          <w:bCs/>
          <w:color w:val="auto"/>
          <w:highlight w:val="none"/>
        </w:rPr>
        <w:t>商询问函和质疑函范本</w:t>
      </w:r>
      <w:r>
        <w:rPr>
          <w:rFonts w:hint="eastAsia"/>
          <w:bCs/>
          <w:color w:val="auto"/>
          <w:highlight w:val="none"/>
        </w:rPr>
        <w:tab/>
      </w:r>
      <w:r>
        <w:rPr>
          <w:rFonts w:hint="eastAsia"/>
          <w:bCs/>
          <w:color w:val="auto"/>
          <w:highlight w:val="none"/>
        </w:rPr>
        <w:fldChar w:fldCharType="begin"/>
      </w:r>
      <w:r>
        <w:rPr>
          <w:rFonts w:hint="eastAsia"/>
          <w:bCs/>
          <w:color w:val="auto"/>
          <w:highlight w:val="none"/>
        </w:rPr>
        <w:instrText xml:space="preserve"> </w:instrText>
      </w:r>
      <w:r>
        <w:rPr>
          <w:bCs/>
          <w:color w:val="auto"/>
          <w:highlight w:val="none"/>
        </w:rPr>
        <w:instrText xml:space="preserve">PAGEREF _Toc221656381 \h</w:instrText>
      </w:r>
      <w:r>
        <w:rPr>
          <w:rFonts w:hint="eastAsia"/>
          <w:bCs/>
          <w:color w:val="auto"/>
          <w:highlight w:val="none"/>
        </w:rPr>
        <w:instrText xml:space="preserve"> </w:instrText>
      </w:r>
      <w:r>
        <w:rPr>
          <w:rFonts w:hint="eastAsia"/>
          <w:bCs/>
          <w:color w:val="auto"/>
          <w:highlight w:val="none"/>
        </w:rPr>
        <w:fldChar w:fldCharType="separate"/>
      </w:r>
      <w:r>
        <w:rPr>
          <w:bCs/>
          <w:color w:val="auto"/>
          <w:highlight w:val="none"/>
        </w:rPr>
        <w:t>201</w:t>
      </w:r>
      <w:r>
        <w:rPr>
          <w:rFonts w:hint="eastAsia"/>
          <w:bCs/>
          <w:color w:val="auto"/>
          <w:highlight w:val="none"/>
        </w:rPr>
        <w:fldChar w:fldCharType="end"/>
      </w:r>
      <w:r>
        <w:rPr>
          <w:rFonts w:hint="eastAsia"/>
          <w:bCs/>
          <w:color w:val="auto"/>
          <w:highlight w:val="none"/>
        </w:rPr>
        <w:fldChar w:fldCharType="end"/>
      </w:r>
      <w:r>
        <w:rPr>
          <w:rFonts w:asciiTheme="minorEastAsia" w:hAnsiTheme="minorEastAsia"/>
          <w:bCs/>
          <w:color w:val="auto"/>
          <w:szCs w:val="24"/>
          <w:highlight w:val="none"/>
        </w:rPr>
        <w:fldChar w:fldCharType="end"/>
      </w:r>
    </w:p>
    <w:p w14:paraId="5ACE0220">
      <w:pPr>
        <w:pStyle w:val="2"/>
        <w:rPr>
          <w:rFonts w:hint="eastAsia"/>
          <w:color w:val="auto"/>
          <w:highlight w:val="none"/>
        </w:rPr>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cols w:space="425" w:num="1"/>
          <w:docGrid w:type="lines" w:linePitch="312" w:charSpace="0"/>
        </w:sectPr>
      </w:pPr>
    </w:p>
    <w:p w14:paraId="2C346862">
      <w:pPr>
        <w:spacing w:line="360" w:lineRule="auto"/>
        <w:jc w:val="center"/>
        <w:outlineLvl w:val="0"/>
        <w:rPr>
          <w:rFonts w:hint="eastAsia" w:asciiTheme="minorEastAsia" w:hAnsiTheme="minorEastAsia" w:eastAsiaTheme="minorEastAsia"/>
          <w:b/>
          <w:color w:val="auto"/>
          <w:sz w:val="28"/>
          <w:highlight w:val="none"/>
        </w:rPr>
      </w:pPr>
      <w:bookmarkStart w:id="1" w:name="_Toc221656344"/>
      <w:r>
        <w:rPr>
          <w:rFonts w:hint="eastAsia" w:asciiTheme="minorEastAsia" w:hAnsiTheme="minorEastAsia" w:eastAsiaTheme="minorEastAsia"/>
          <w:b/>
          <w:color w:val="auto"/>
          <w:sz w:val="28"/>
          <w:highlight w:val="none"/>
        </w:rPr>
        <w:t xml:space="preserve">第一章 </w:t>
      </w:r>
      <w:r>
        <w:rPr>
          <w:rFonts w:asciiTheme="minorEastAsia" w:hAnsiTheme="minorEastAsia" w:eastAsiaTheme="minorEastAsia"/>
          <w:b/>
          <w:color w:val="auto"/>
          <w:sz w:val="28"/>
          <w:highlight w:val="none"/>
        </w:rPr>
        <w:t xml:space="preserve"> </w:t>
      </w:r>
      <w:r>
        <w:rPr>
          <w:rFonts w:hint="eastAsia" w:asciiTheme="minorEastAsia" w:hAnsiTheme="minorEastAsia" w:eastAsiaTheme="minorEastAsia"/>
          <w:b/>
          <w:color w:val="auto"/>
          <w:sz w:val="28"/>
          <w:highlight w:val="none"/>
        </w:rPr>
        <w:t>濉溪县中医医院医共体资源共享中心建设工程</w:t>
      </w:r>
      <w:bookmarkEnd w:id="1"/>
      <w:r>
        <w:rPr>
          <w:rFonts w:hint="eastAsia" w:asciiTheme="minorEastAsia" w:hAnsiTheme="minorEastAsia" w:eastAsiaTheme="minorEastAsia"/>
          <w:b/>
          <w:color w:val="auto"/>
          <w:sz w:val="28"/>
          <w:highlight w:val="none"/>
        </w:rPr>
        <w:t>招标公告</w:t>
      </w:r>
    </w:p>
    <w:p w14:paraId="71953A83">
      <w:pPr>
        <w:spacing w:line="360" w:lineRule="auto"/>
        <w:ind w:firstLine="437"/>
        <w:outlineLvl w:val="1"/>
        <w:rPr>
          <w:rFonts w:hint="eastAsia" w:ascii="宋体" w:hAnsi="宋体" w:eastAsia="宋体"/>
          <w:b/>
          <w:bCs/>
          <w:color w:val="auto"/>
          <w:sz w:val="24"/>
          <w:szCs w:val="18"/>
          <w:highlight w:val="none"/>
        </w:rPr>
      </w:pPr>
      <w:bookmarkStart w:id="2" w:name="_Toc221656345"/>
      <w:bookmarkStart w:id="3" w:name="_Toc1381"/>
      <w:bookmarkStart w:id="4" w:name="_Toc5842"/>
      <w:r>
        <w:rPr>
          <w:rFonts w:hint="eastAsia" w:ascii="宋体" w:hAnsi="宋体" w:eastAsia="宋体"/>
          <w:b/>
          <w:bCs/>
          <w:color w:val="auto"/>
          <w:sz w:val="24"/>
          <w:szCs w:val="18"/>
          <w:highlight w:val="none"/>
        </w:rPr>
        <w:t>项目概况</w:t>
      </w:r>
      <w:bookmarkEnd w:id="2"/>
    </w:p>
    <w:p w14:paraId="04F2954D">
      <w:pPr>
        <w:spacing w:line="360" w:lineRule="auto"/>
        <w:ind w:firstLine="435"/>
        <w:rPr>
          <w:rFonts w:hint="eastAsia" w:asciiTheme="minorEastAsia" w:hAnsiTheme="minorEastAsia" w:eastAsiaTheme="minorEastAsia"/>
          <w:color w:val="auto"/>
          <w:sz w:val="24"/>
          <w:szCs w:val="22"/>
          <w:highlight w:val="none"/>
        </w:rPr>
      </w:pPr>
      <w:r>
        <w:rPr>
          <w:rFonts w:hint="eastAsia" w:asciiTheme="minorEastAsia" w:hAnsiTheme="minorEastAsia" w:eastAsiaTheme="minorEastAsia" w:cstheme="minorEastAsia"/>
          <w:color w:val="auto"/>
          <w:sz w:val="24"/>
          <w:szCs w:val="24"/>
          <w:highlight w:val="none"/>
        </w:rPr>
        <w:t>濉溪县中医医院医共体资源共享中心建设工程</w:t>
      </w:r>
      <w:r>
        <w:rPr>
          <w:rFonts w:hint="eastAsia" w:asciiTheme="minorEastAsia" w:hAnsiTheme="minorEastAsia" w:eastAsiaTheme="minorEastAsia"/>
          <w:color w:val="auto"/>
          <w:sz w:val="24"/>
          <w:szCs w:val="22"/>
          <w:highlight w:val="none"/>
        </w:rPr>
        <w:t>的潜在投标人应在淮北市公共资源交易电子服务系统获取招标文件，并于2026年</w:t>
      </w:r>
      <w:r>
        <w:rPr>
          <w:rFonts w:hint="eastAsia" w:asciiTheme="minorEastAsia" w:hAnsiTheme="minorEastAsia" w:eastAsiaTheme="minorEastAsia" w:cstheme="minorEastAsia"/>
          <w:color w:val="auto"/>
          <w:sz w:val="24"/>
          <w:szCs w:val="24"/>
          <w:highlight w:val="none"/>
        </w:rPr>
        <w:t>6</w:t>
      </w:r>
      <w:r>
        <w:rPr>
          <w:rFonts w:hint="eastAsia" w:asciiTheme="minorEastAsia" w:hAnsiTheme="minorEastAsia" w:eastAsiaTheme="minorEastAsia"/>
          <w:color w:val="auto"/>
          <w:sz w:val="24"/>
          <w:szCs w:val="22"/>
          <w:highlight w:val="none"/>
        </w:rPr>
        <w:t>月</w:t>
      </w:r>
      <w:r>
        <w:rPr>
          <w:rFonts w:hint="eastAsia" w:asciiTheme="minorEastAsia" w:hAnsiTheme="minorEastAsia" w:eastAsiaTheme="minorEastAsia" w:cstheme="minorEastAsia"/>
          <w:color w:val="auto"/>
          <w:sz w:val="24"/>
          <w:szCs w:val="24"/>
          <w:highlight w:val="none"/>
        </w:rPr>
        <w:t xml:space="preserve"> </w:t>
      </w:r>
      <w:r>
        <w:rPr>
          <w:rFonts w:hint="eastAsia" w:asciiTheme="minorEastAsia" w:hAnsiTheme="minorEastAsia" w:eastAsiaTheme="minorEastAsia"/>
          <w:color w:val="auto"/>
          <w:sz w:val="24"/>
          <w:szCs w:val="22"/>
          <w:highlight w:val="none"/>
        </w:rPr>
        <w:t>日</w:t>
      </w:r>
      <w:r>
        <w:rPr>
          <w:rFonts w:hint="eastAsia" w:asciiTheme="minorEastAsia" w:hAnsiTheme="minorEastAsia" w:eastAsiaTheme="minorEastAsia" w:cstheme="minorEastAsia"/>
          <w:color w:val="auto"/>
          <w:sz w:val="24"/>
          <w:szCs w:val="24"/>
          <w:highlight w:val="none"/>
        </w:rPr>
        <w:t>9</w:t>
      </w:r>
      <w:r>
        <w:rPr>
          <w:rFonts w:hint="eastAsia" w:asciiTheme="minorEastAsia" w:hAnsiTheme="minorEastAsia" w:eastAsiaTheme="minorEastAsia"/>
          <w:color w:val="auto"/>
          <w:sz w:val="24"/>
          <w:szCs w:val="22"/>
          <w:highlight w:val="none"/>
        </w:rPr>
        <w:t xml:space="preserve">点00分（北京时间）前递交投标文件。 </w:t>
      </w:r>
    </w:p>
    <w:p w14:paraId="6956590D">
      <w:pPr>
        <w:spacing w:line="360" w:lineRule="auto"/>
        <w:ind w:firstLine="437"/>
        <w:outlineLvl w:val="1"/>
        <w:rPr>
          <w:rFonts w:hint="eastAsia" w:ascii="宋体" w:hAnsi="宋体" w:eastAsia="宋体"/>
          <w:b/>
          <w:bCs/>
          <w:color w:val="auto"/>
          <w:sz w:val="24"/>
          <w:szCs w:val="18"/>
          <w:highlight w:val="none"/>
        </w:rPr>
      </w:pPr>
      <w:bookmarkStart w:id="5" w:name="_Toc221656346"/>
      <w:r>
        <w:rPr>
          <w:rFonts w:hint="eastAsia" w:ascii="宋体" w:hAnsi="宋体" w:eastAsia="宋体"/>
          <w:b/>
          <w:bCs/>
          <w:color w:val="auto"/>
          <w:sz w:val="24"/>
          <w:szCs w:val="18"/>
          <w:highlight w:val="none"/>
        </w:rPr>
        <w:t>一、</w:t>
      </w:r>
      <w:bookmarkEnd w:id="3"/>
      <w:r>
        <w:rPr>
          <w:rFonts w:hint="eastAsia" w:ascii="宋体" w:hAnsi="宋体" w:eastAsia="宋体"/>
          <w:b/>
          <w:bCs/>
          <w:color w:val="auto"/>
          <w:sz w:val="24"/>
          <w:szCs w:val="18"/>
          <w:highlight w:val="none"/>
        </w:rPr>
        <w:t>项目基本情况</w:t>
      </w:r>
      <w:bookmarkEnd w:id="4"/>
      <w:bookmarkEnd w:id="5"/>
    </w:p>
    <w:p w14:paraId="30A33CC3">
      <w:pPr>
        <w:spacing w:line="360" w:lineRule="auto"/>
        <w:ind w:firstLine="435"/>
        <w:rPr>
          <w:rFonts w:hint="eastAsia" w:ascii="宋体" w:hAnsi="宋体" w:eastAsiaTheme="minorEastAsia"/>
          <w:color w:val="auto"/>
          <w:sz w:val="24"/>
          <w:szCs w:val="18"/>
          <w:highlight w:val="none"/>
        </w:rPr>
      </w:pPr>
      <w:r>
        <w:rPr>
          <w:rFonts w:hint="eastAsia" w:asciiTheme="minorEastAsia" w:hAnsiTheme="minorEastAsia" w:eastAsiaTheme="minorEastAsia"/>
          <w:color w:val="auto"/>
          <w:sz w:val="24"/>
          <w:highlight w:val="none"/>
        </w:rPr>
        <w:t>1.项目编号：</w:t>
      </w:r>
      <w:r>
        <w:rPr>
          <w:rFonts w:hint="eastAsia" w:ascii="宋体" w:hAnsi="宋体" w:eastAsia="宋体"/>
          <w:color w:val="auto"/>
          <w:sz w:val="24"/>
          <w:szCs w:val="18"/>
          <w:highlight w:val="none"/>
        </w:rPr>
        <w:t>SXCG</w:t>
      </w:r>
    </w:p>
    <w:p w14:paraId="015ED40B">
      <w:pPr>
        <w:spacing w:line="360" w:lineRule="auto"/>
        <w:ind w:firstLine="435"/>
        <w:rPr>
          <w:rFonts w:hint="eastAsia"/>
          <w:color w:val="auto"/>
          <w:highlight w:val="none"/>
        </w:rPr>
      </w:pPr>
      <w:r>
        <w:rPr>
          <w:rFonts w:hint="eastAsia" w:asciiTheme="minorEastAsia" w:hAnsiTheme="minorEastAsia" w:eastAsiaTheme="minorEastAsia"/>
          <w:color w:val="auto"/>
          <w:sz w:val="24"/>
          <w:highlight w:val="none"/>
        </w:rPr>
        <w:t>2.项目名称：</w:t>
      </w:r>
      <w:r>
        <w:rPr>
          <w:rFonts w:hint="eastAsia" w:ascii="宋体" w:hAnsi="宋体" w:eastAsia="宋体"/>
          <w:color w:val="auto"/>
          <w:sz w:val="24"/>
          <w:szCs w:val="18"/>
          <w:highlight w:val="none"/>
        </w:rPr>
        <w:t>濉溪县中医医院医共体资源共享中心建设工程</w:t>
      </w:r>
    </w:p>
    <w:p w14:paraId="70F554C0">
      <w:pPr>
        <w:spacing w:line="360" w:lineRule="auto"/>
        <w:ind w:firstLine="435"/>
        <w:rPr>
          <w:rFonts w:hint="eastAsia" w:ascii="宋体" w:hAnsi="宋体" w:eastAsia="宋体"/>
          <w:color w:val="auto"/>
          <w:sz w:val="24"/>
          <w:szCs w:val="18"/>
          <w:highlight w:val="none"/>
        </w:rPr>
      </w:pPr>
      <w:r>
        <w:rPr>
          <w:rFonts w:hint="eastAsia" w:asciiTheme="minorEastAsia" w:hAnsiTheme="minorEastAsia" w:eastAsiaTheme="minorEastAsia"/>
          <w:color w:val="auto"/>
          <w:sz w:val="24"/>
          <w:highlight w:val="none"/>
        </w:rPr>
        <w:t>3.预算金额：</w:t>
      </w:r>
    </w:p>
    <w:tbl>
      <w:tblPr>
        <w:tblStyle w:val="26"/>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58"/>
        <w:gridCol w:w="4261"/>
      </w:tblGrid>
      <w:tr w14:paraId="47237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9" w:type="pct"/>
          </w:tcPr>
          <w:p w14:paraId="672D94F9">
            <w:pPr>
              <w:spacing w:line="360" w:lineRule="auto"/>
              <w:jc w:val="center"/>
              <w:rPr>
                <w:rFonts w:hint="eastAsia" w:asciiTheme="minorEastAsia" w:hAnsiTheme="minorEastAsia" w:eastAsiaTheme="minorEastAsia"/>
                <w:color w:val="auto"/>
                <w:sz w:val="24"/>
                <w:szCs w:val="22"/>
                <w:highlight w:val="none"/>
              </w:rPr>
            </w:pPr>
            <w:r>
              <w:rPr>
                <w:rFonts w:hint="eastAsia" w:asciiTheme="minorEastAsia" w:hAnsiTheme="minorEastAsia" w:eastAsiaTheme="minorEastAsia"/>
                <w:color w:val="auto"/>
                <w:sz w:val="24"/>
                <w:szCs w:val="22"/>
                <w:highlight w:val="none"/>
              </w:rPr>
              <w:t>分包编号</w:t>
            </w:r>
          </w:p>
        </w:tc>
        <w:tc>
          <w:tcPr>
            <w:tcW w:w="2500" w:type="pct"/>
          </w:tcPr>
          <w:p w14:paraId="5AB9121C">
            <w:pPr>
              <w:spacing w:line="360" w:lineRule="auto"/>
              <w:jc w:val="center"/>
              <w:rPr>
                <w:rFonts w:hint="eastAsia" w:asciiTheme="minorEastAsia" w:hAnsiTheme="minorEastAsia" w:eastAsiaTheme="minorEastAsia"/>
                <w:color w:val="auto"/>
                <w:sz w:val="24"/>
                <w:szCs w:val="22"/>
                <w:highlight w:val="none"/>
              </w:rPr>
            </w:pPr>
            <w:r>
              <w:rPr>
                <w:rFonts w:hint="eastAsia" w:asciiTheme="minorEastAsia" w:hAnsiTheme="minorEastAsia" w:eastAsiaTheme="minorEastAsia"/>
                <w:color w:val="auto"/>
                <w:sz w:val="24"/>
                <w:szCs w:val="22"/>
                <w:highlight w:val="none"/>
              </w:rPr>
              <w:t>预算金额（万元）</w:t>
            </w:r>
          </w:p>
        </w:tc>
      </w:tr>
      <w:tr w14:paraId="77BAD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9" w:type="pct"/>
          </w:tcPr>
          <w:p w14:paraId="37170402">
            <w:pPr>
              <w:spacing w:line="360" w:lineRule="auto"/>
              <w:jc w:val="center"/>
              <w:rPr>
                <w:rFonts w:hint="eastAsia" w:asciiTheme="minorEastAsia" w:hAnsiTheme="minorEastAsia" w:eastAsiaTheme="minorEastAsia"/>
                <w:color w:val="auto"/>
                <w:sz w:val="24"/>
                <w:szCs w:val="22"/>
                <w:highlight w:val="none"/>
              </w:rPr>
            </w:pPr>
            <w:r>
              <w:rPr>
                <w:rFonts w:asciiTheme="minorEastAsia" w:hAnsiTheme="minorEastAsia" w:eastAsiaTheme="minorEastAsia"/>
                <w:color w:val="auto"/>
                <w:sz w:val="24"/>
                <w:szCs w:val="22"/>
                <w:highlight w:val="none"/>
              </w:rPr>
              <w:t>0</w:t>
            </w:r>
            <w:r>
              <w:rPr>
                <w:rFonts w:hint="eastAsia" w:asciiTheme="minorEastAsia" w:hAnsiTheme="minorEastAsia" w:eastAsiaTheme="minorEastAsia"/>
                <w:color w:val="auto"/>
                <w:sz w:val="24"/>
                <w:szCs w:val="22"/>
                <w:highlight w:val="none"/>
              </w:rPr>
              <w:t>1</w:t>
            </w:r>
            <w:r>
              <w:rPr>
                <w:rFonts w:asciiTheme="minorEastAsia" w:hAnsiTheme="minorEastAsia" w:eastAsiaTheme="minorEastAsia"/>
                <w:color w:val="auto"/>
                <w:sz w:val="24"/>
                <w:szCs w:val="22"/>
                <w:highlight w:val="none"/>
              </w:rPr>
              <w:t>包</w:t>
            </w:r>
          </w:p>
        </w:tc>
        <w:tc>
          <w:tcPr>
            <w:tcW w:w="2500" w:type="pct"/>
          </w:tcPr>
          <w:p w14:paraId="09019121">
            <w:pPr>
              <w:spacing w:line="360" w:lineRule="auto"/>
              <w:jc w:val="center"/>
              <w:rPr>
                <w:rFonts w:hint="eastAsia" w:asciiTheme="minorEastAsia" w:hAnsiTheme="minorEastAsia" w:eastAsiaTheme="minorEastAsia"/>
                <w:color w:val="auto"/>
                <w:sz w:val="24"/>
                <w:szCs w:val="22"/>
                <w:highlight w:val="none"/>
              </w:rPr>
            </w:pPr>
            <w:r>
              <w:rPr>
                <w:rFonts w:asciiTheme="minorEastAsia" w:hAnsiTheme="minorEastAsia" w:eastAsiaTheme="minorEastAsia"/>
                <w:color w:val="auto"/>
                <w:sz w:val="24"/>
                <w:szCs w:val="22"/>
                <w:highlight w:val="none"/>
              </w:rPr>
              <w:t>2500</w:t>
            </w:r>
          </w:p>
        </w:tc>
      </w:tr>
      <w:tr w14:paraId="7C3C3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9" w:type="pct"/>
          </w:tcPr>
          <w:p w14:paraId="55EA0EE2">
            <w:pPr>
              <w:spacing w:line="360" w:lineRule="auto"/>
              <w:jc w:val="center"/>
              <w:rPr>
                <w:rFonts w:hint="eastAsia" w:asciiTheme="minorEastAsia" w:hAnsiTheme="minorEastAsia" w:eastAsiaTheme="minorEastAsia"/>
                <w:color w:val="auto"/>
                <w:sz w:val="24"/>
                <w:szCs w:val="22"/>
                <w:highlight w:val="none"/>
              </w:rPr>
            </w:pPr>
            <w:r>
              <w:rPr>
                <w:rFonts w:asciiTheme="minorEastAsia" w:hAnsiTheme="minorEastAsia" w:eastAsiaTheme="minorEastAsia"/>
                <w:color w:val="auto"/>
                <w:sz w:val="24"/>
                <w:szCs w:val="22"/>
                <w:highlight w:val="none"/>
              </w:rPr>
              <w:t>0</w:t>
            </w:r>
            <w:r>
              <w:rPr>
                <w:rFonts w:hint="eastAsia" w:asciiTheme="minorEastAsia" w:hAnsiTheme="minorEastAsia" w:eastAsiaTheme="minorEastAsia"/>
                <w:color w:val="auto"/>
                <w:sz w:val="24"/>
                <w:szCs w:val="22"/>
                <w:highlight w:val="none"/>
              </w:rPr>
              <w:t>2</w:t>
            </w:r>
            <w:r>
              <w:rPr>
                <w:rFonts w:asciiTheme="minorEastAsia" w:hAnsiTheme="minorEastAsia" w:eastAsiaTheme="minorEastAsia"/>
                <w:color w:val="auto"/>
                <w:sz w:val="24"/>
                <w:szCs w:val="22"/>
                <w:highlight w:val="none"/>
              </w:rPr>
              <w:t>包</w:t>
            </w:r>
          </w:p>
        </w:tc>
        <w:tc>
          <w:tcPr>
            <w:tcW w:w="2500" w:type="pct"/>
          </w:tcPr>
          <w:p w14:paraId="0F49D5BD">
            <w:pPr>
              <w:spacing w:line="360" w:lineRule="auto"/>
              <w:jc w:val="center"/>
              <w:rPr>
                <w:rFonts w:hint="eastAsia" w:asciiTheme="minorEastAsia" w:hAnsiTheme="minorEastAsia" w:eastAsiaTheme="minorEastAsia"/>
                <w:color w:val="auto"/>
                <w:sz w:val="24"/>
                <w:szCs w:val="22"/>
                <w:highlight w:val="none"/>
              </w:rPr>
            </w:pPr>
            <w:r>
              <w:rPr>
                <w:rFonts w:asciiTheme="minorEastAsia" w:hAnsiTheme="minorEastAsia" w:eastAsiaTheme="minorEastAsia"/>
                <w:color w:val="auto"/>
                <w:sz w:val="24"/>
                <w:szCs w:val="22"/>
                <w:highlight w:val="none"/>
              </w:rPr>
              <w:t>2000</w:t>
            </w:r>
          </w:p>
        </w:tc>
      </w:tr>
      <w:tr w14:paraId="2BFF0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9" w:type="pct"/>
          </w:tcPr>
          <w:p w14:paraId="2C261E65">
            <w:pPr>
              <w:spacing w:line="360" w:lineRule="auto"/>
              <w:jc w:val="center"/>
              <w:rPr>
                <w:rFonts w:hint="eastAsia" w:asciiTheme="minorEastAsia" w:hAnsiTheme="minorEastAsia" w:eastAsiaTheme="minorEastAsia"/>
                <w:color w:val="auto"/>
                <w:sz w:val="24"/>
                <w:szCs w:val="22"/>
                <w:highlight w:val="none"/>
              </w:rPr>
            </w:pPr>
            <w:r>
              <w:rPr>
                <w:rFonts w:asciiTheme="minorEastAsia" w:hAnsiTheme="minorEastAsia" w:eastAsiaTheme="minorEastAsia"/>
                <w:color w:val="auto"/>
                <w:sz w:val="24"/>
                <w:szCs w:val="22"/>
                <w:highlight w:val="none"/>
              </w:rPr>
              <w:t>0</w:t>
            </w:r>
            <w:r>
              <w:rPr>
                <w:rFonts w:hint="eastAsia" w:asciiTheme="minorEastAsia" w:hAnsiTheme="minorEastAsia" w:eastAsiaTheme="minorEastAsia"/>
                <w:color w:val="auto"/>
                <w:sz w:val="24"/>
                <w:szCs w:val="22"/>
                <w:highlight w:val="none"/>
              </w:rPr>
              <w:t>3</w:t>
            </w:r>
            <w:r>
              <w:rPr>
                <w:rFonts w:asciiTheme="minorEastAsia" w:hAnsiTheme="minorEastAsia" w:eastAsiaTheme="minorEastAsia"/>
                <w:color w:val="auto"/>
                <w:sz w:val="24"/>
                <w:szCs w:val="22"/>
                <w:highlight w:val="none"/>
              </w:rPr>
              <w:t>包</w:t>
            </w:r>
          </w:p>
        </w:tc>
        <w:tc>
          <w:tcPr>
            <w:tcW w:w="2500" w:type="pct"/>
          </w:tcPr>
          <w:p w14:paraId="4D68E5D4">
            <w:pPr>
              <w:spacing w:line="360" w:lineRule="auto"/>
              <w:jc w:val="center"/>
              <w:rPr>
                <w:rFonts w:hint="eastAsia" w:asciiTheme="minorEastAsia" w:hAnsiTheme="minorEastAsia" w:eastAsiaTheme="minorEastAsia"/>
                <w:color w:val="auto"/>
                <w:sz w:val="24"/>
                <w:szCs w:val="22"/>
                <w:highlight w:val="none"/>
              </w:rPr>
            </w:pPr>
            <w:r>
              <w:rPr>
                <w:rFonts w:asciiTheme="minorEastAsia" w:hAnsiTheme="minorEastAsia" w:eastAsiaTheme="minorEastAsia"/>
                <w:color w:val="auto"/>
                <w:sz w:val="24"/>
                <w:szCs w:val="22"/>
                <w:highlight w:val="none"/>
              </w:rPr>
              <w:t>700</w:t>
            </w:r>
          </w:p>
        </w:tc>
      </w:tr>
      <w:tr w14:paraId="2B5B8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9" w:type="pct"/>
          </w:tcPr>
          <w:p w14:paraId="7169B12D">
            <w:pPr>
              <w:spacing w:line="360" w:lineRule="auto"/>
              <w:jc w:val="center"/>
              <w:rPr>
                <w:rFonts w:hint="eastAsia" w:asciiTheme="minorEastAsia" w:hAnsiTheme="minorEastAsia" w:eastAsiaTheme="minorEastAsia"/>
                <w:color w:val="auto"/>
                <w:sz w:val="24"/>
                <w:szCs w:val="22"/>
                <w:highlight w:val="none"/>
              </w:rPr>
            </w:pPr>
            <w:r>
              <w:rPr>
                <w:rFonts w:asciiTheme="minorEastAsia" w:hAnsiTheme="minorEastAsia" w:eastAsiaTheme="minorEastAsia"/>
                <w:color w:val="auto"/>
                <w:sz w:val="24"/>
                <w:szCs w:val="22"/>
                <w:highlight w:val="none"/>
              </w:rPr>
              <w:t>0</w:t>
            </w:r>
            <w:r>
              <w:rPr>
                <w:rFonts w:hint="eastAsia" w:asciiTheme="minorEastAsia" w:hAnsiTheme="minorEastAsia" w:eastAsiaTheme="minorEastAsia"/>
                <w:color w:val="auto"/>
                <w:sz w:val="24"/>
                <w:szCs w:val="22"/>
                <w:highlight w:val="none"/>
              </w:rPr>
              <w:t>4</w:t>
            </w:r>
            <w:r>
              <w:rPr>
                <w:rFonts w:asciiTheme="minorEastAsia" w:hAnsiTheme="minorEastAsia" w:eastAsiaTheme="minorEastAsia"/>
                <w:color w:val="auto"/>
                <w:sz w:val="24"/>
                <w:szCs w:val="22"/>
                <w:highlight w:val="none"/>
              </w:rPr>
              <w:t>包</w:t>
            </w:r>
          </w:p>
        </w:tc>
        <w:tc>
          <w:tcPr>
            <w:tcW w:w="2500" w:type="pct"/>
          </w:tcPr>
          <w:p w14:paraId="7EBEFBF6">
            <w:pPr>
              <w:spacing w:line="360" w:lineRule="auto"/>
              <w:jc w:val="center"/>
              <w:rPr>
                <w:rFonts w:hint="eastAsia" w:asciiTheme="minorEastAsia" w:hAnsiTheme="minorEastAsia" w:eastAsiaTheme="minorEastAsia"/>
                <w:color w:val="auto"/>
                <w:sz w:val="24"/>
                <w:szCs w:val="22"/>
                <w:highlight w:val="none"/>
              </w:rPr>
            </w:pPr>
            <w:r>
              <w:rPr>
                <w:rFonts w:hint="eastAsia" w:asciiTheme="minorEastAsia" w:hAnsiTheme="minorEastAsia" w:eastAsiaTheme="minorEastAsia"/>
                <w:color w:val="auto"/>
                <w:sz w:val="24"/>
                <w:szCs w:val="22"/>
                <w:highlight w:val="none"/>
                <w:lang w:val="en-US" w:eastAsia="zh-CN"/>
              </w:rPr>
              <w:t>6</w:t>
            </w:r>
            <w:r>
              <w:rPr>
                <w:rFonts w:hint="eastAsia" w:asciiTheme="minorEastAsia" w:hAnsiTheme="minorEastAsia" w:eastAsiaTheme="minorEastAsia"/>
                <w:color w:val="auto"/>
                <w:sz w:val="24"/>
                <w:szCs w:val="22"/>
                <w:highlight w:val="none"/>
              </w:rPr>
              <w:t>00</w:t>
            </w:r>
          </w:p>
        </w:tc>
      </w:tr>
      <w:tr w14:paraId="739BC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9" w:type="pct"/>
          </w:tcPr>
          <w:p w14:paraId="726DBD03">
            <w:pPr>
              <w:spacing w:line="360" w:lineRule="auto"/>
              <w:jc w:val="center"/>
              <w:rPr>
                <w:rFonts w:hint="eastAsia" w:asciiTheme="minorEastAsia" w:hAnsiTheme="minorEastAsia" w:eastAsiaTheme="minorEastAsia"/>
                <w:color w:val="auto"/>
                <w:sz w:val="24"/>
                <w:szCs w:val="22"/>
                <w:highlight w:val="none"/>
              </w:rPr>
            </w:pPr>
            <w:r>
              <w:rPr>
                <w:rFonts w:asciiTheme="minorEastAsia" w:hAnsiTheme="minorEastAsia" w:eastAsiaTheme="minorEastAsia"/>
                <w:color w:val="auto"/>
                <w:sz w:val="24"/>
                <w:szCs w:val="22"/>
                <w:highlight w:val="none"/>
              </w:rPr>
              <w:t>0</w:t>
            </w:r>
            <w:r>
              <w:rPr>
                <w:rFonts w:hint="eastAsia" w:asciiTheme="minorEastAsia" w:hAnsiTheme="minorEastAsia" w:eastAsiaTheme="minorEastAsia"/>
                <w:color w:val="auto"/>
                <w:sz w:val="24"/>
                <w:szCs w:val="22"/>
                <w:highlight w:val="none"/>
              </w:rPr>
              <w:t>5</w:t>
            </w:r>
            <w:r>
              <w:rPr>
                <w:rFonts w:asciiTheme="minorEastAsia" w:hAnsiTheme="minorEastAsia" w:eastAsiaTheme="minorEastAsia"/>
                <w:color w:val="auto"/>
                <w:sz w:val="24"/>
                <w:szCs w:val="22"/>
                <w:highlight w:val="none"/>
              </w:rPr>
              <w:t>包</w:t>
            </w:r>
          </w:p>
        </w:tc>
        <w:tc>
          <w:tcPr>
            <w:tcW w:w="2500" w:type="pct"/>
            <w:vAlign w:val="center"/>
          </w:tcPr>
          <w:p w14:paraId="76F91505">
            <w:pPr>
              <w:spacing w:line="360" w:lineRule="auto"/>
              <w:jc w:val="center"/>
              <w:rPr>
                <w:rFonts w:hint="default" w:asciiTheme="minorEastAsia" w:hAnsiTheme="minorEastAsia" w:eastAsiaTheme="minorEastAsia"/>
                <w:color w:val="auto"/>
                <w:sz w:val="24"/>
                <w:szCs w:val="22"/>
                <w:highlight w:val="none"/>
                <w:lang w:val="en-US"/>
              </w:rPr>
            </w:pPr>
            <w:r>
              <w:rPr>
                <w:rFonts w:hint="default" w:asciiTheme="minorEastAsia" w:hAnsiTheme="minorEastAsia" w:eastAsiaTheme="minorEastAsia"/>
                <w:color w:val="auto"/>
                <w:sz w:val="24"/>
                <w:szCs w:val="22"/>
                <w:highlight w:val="none"/>
                <w:lang w:val="en-US"/>
              </w:rPr>
              <w:t>200</w:t>
            </w:r>
          </w:p>
        </w:tc>
      </w:tr>
      <w:tr w14:paraId="37B51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9" w:type="pct"/>
          </w:tcPr>
          <w:p w14:paraId="2E0DB95E">
            <w:pPr>
              <w:spacing w:line="360" w:lineRule="auto"/>
              <w:jc w:val="center"/>
              <w:rPr>
                <w:rFonts w:hint="eastAsia" w:asciiTheme="minorEastAsia" w:hAnsiTheme="minorEastAsia" w:eastAsiaTheme="minorEastAsia"/>
                <w:color w:val="auto"/>
                <w:sz w:val="24"/>
                <w:szCs w:val="22"/>
                <w:highlight w:val="none"/>
              </w:rPr>
            </w:pPr>
            <w:r>
              <w:rPr>
                <w:rFonts w:hint="eastAsia" w:asciiTheme="minorEastAsia" w:hAnsiTheme="minorEastAsia" w:eastAsiaTheme="minorEastAsia"/>
                <w:color w:val="auto"/>
                <w:sz w:val="24"/>
                <w:szCs w:val="22"/>
                <w:highlight w:val="none"/>
              </w:rPr>
              <w:t>06包</w:t>
            </w:r>
          </w:p>
        </w:tc>
        <w:tc>
          <w:tcPr>
            <w:tcW w:w="2500" w:type="pct"/>
          </w:tcPr>
          <w:p w14:paraId="421EEE9F">
            <w:pPr>
              <w:spacing w:line="360" w:lineRule="auto"/>
              <w:jc w:val="center"/>
              <w:rPr>
                <w:rFonts w:hint="default" w:asciiTheme="minorEastAsia" w:hAnsiTheme="minorEastAsia" w:eastAsiaTheme="minorEastAsia"/>
                <w:color w:val="auto"/>
                <w:sz w:val="24"/>
                <w:szCs w:val="22"/>
                <w:highlight w:val="none"/>
                <w:lang w:val="en-US" w:eastAsia="zh-CN"/>
              </w:rPr>
            </w:pPr>
            <w:r>
              <w:rPr>
                <w:rFonts w:hint="default" w:asciiTheme="minorEastAsia" w:hAnsiTheme="minorEastAsia" w:eastAsiaTheme="minorEastAsia"/>
                <w:color w:val="auto"/>
                <w:sz w:val="24"/>
                <w:szCs w:val="22"/>
                <w:highlight w:val="none"/>
                <w:lang w:val="en-US" w:eastAsia="zh-CN"/>
              </w:rPr>
              <w:t>720</w:t>
            </w:r>
          </w:p>
        </w:tc>
      </w:tr>
      <w:tr w14:paraId="0DA05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9" w:type="pct"/>
          </w:tcPr>
          <w:p w14:paraId="65489AAF">
            <w:pPr>
              <w:spacing w:line="360" w:lineRule="auto"/>
              <w:jc w:val="center"/>
              <w:rPr>
                <w:rFonts w:hint="eastAsia" w:asciiTheme="minorEastAsia" w:hAnsiTheme="minorEastAsia" w:eastAsiaTheme="minorEastAsia"/>
                <w:color w:val="auto"/>
                <w:sz w:val="24"/>
                <w:szCs w:val="22"/>
                <w:highlight w:val="none"/>
              </w:rPr>
            </w:pPr>
            <w:r>
              <w:rPr>
                <w:rFonts w:hint="eastAsia" w:asciiTheme="minorEastAsia" w:hAnsiTheme="minorEastAsia" w:eastAsiaTheme="minorEastAsia"/>
                <w:color w:val="auto"/>
                <w:sz w:val="24"/>
                <w:szCs w:val="22"/>
                <w:highlight w:val="none"/>
              </w:rPr>
              <w:t>07包</w:t>
            </w:r>
          </w:p>
        </w:tc>
        <w:tc>
          <w:tcPr>
            <w:tcW w:w="2500" w:type="pct"/>
          </w:tcPr>
          <w:p w14:paraId="4E2C1EA4">
            <w:pPr>
              <w:spacing w:line="360" w:lineRule="auto"/>
              <w:jc w:val="center"/>
              <w:rPr>
                <w:rFonts w:hint="default" w:asciiTheme="minorEastAsia" w:hAnsiTheme="minorEastAsia" w:eastAsiaTheme="minorEastAsia"/>
                <w:color w:val="auto"/>
                <w:sz w:val="24"/>
                <w:szCs w:val="22"/>
                <w:highlight w:val="none"/>
                <w:lang w:val="en-US"/>
              </w:rPr>
            </w:pPr>
            <w:r>
              <w:rPr>
                <w:rFonts w:hint="default" w:asciiTheme="minorEastAsia" w:hAnsiTheme="minorEastAsia" w:eastAsiaTheme="minorEastAsia"/>
                <w:color w:val="auto"/>
                <w:sz w:val="24"/>
                <w:szCs w:val="22"/>
                <w:highlight w:val="none"/>
                <w:lang w:val="en-US"/>
              </w:rPr>
              <w:t>560</w:t>
            </w:r>
          </w:p>
        </w:tc>
      </w:tr>
      <w:tr w14:paraId="075D6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9" w:type="pct"/>
          </w:tcPr>
          <w:p w14:paraId="5AEE62DE">
            <w:pPr>
              <w:spacing w:line="360" w:lineRule="auto"/>
              <w:jc w:val="center"/>
              <w:rPr>
                <w:rFonts w:hint="eastAsia" w:asciiTheme="minorEastAsia" w:hAnsiTheme="minorEastAsia" w:eastAsiaTheme="minorEastAsia"/>
                <w:color w:val="auto"/>
                <w:sz w:val="24"/>
                <w:szCs w:val="22"/>
                <w:highlight w:val="none"/>
              </w:rPr>
            </w:pPr>
            <w:r>
              <w:rPr>
                <w:rFonts w:hint="eastAsia" w:asciiTheme="minorEastAsia" w:hAnsiTheme="minorEastAsia" w:eastAsiaTheme="minorEastAsia"/>
                <w:color w:val="auto"/>
                <w:sz w:val="24"/>
                <w:szCs w:val="22"/>
                <w:highlight w:val="none"/>
              </w:rPr>
              <w:t>08包</w:t>
            </w:r>
          </w:p>
        </w:tc>
        <w:tc>
          <w:tcPr>
            <w:tcW w:w="2500" w:type="pct"/>
          </w:tcPr>
          <w:p w14:paraId="56E76D6A">
            <w:pPr>
              <w:spacing w:line="360" w:lineRule="auto"/>
              <w:jc w:val="center"/>
              <w:rPr>
                <w:rFonts w:hint="eastAsia" w:asciiTheme="minorEastAsia" w:hAnsiTheme="minorEastAsia" w:eastAsiaTheme="minorEastAsia"/>
                <w:color w:val="auto"/>
                <w:sz w:val="24"/>
                <w:szCs w:val="22"/>
                <w:highlight w:val="none"/>
              </w:rPr>
            </w:pPr>
            <w:r>
              <w:rPr>
                <w:rFonts w:hint="eastAsia" w:asciiTheme="minorEastAsia" w:hAnsiTheme="minorEastAsia" w:eastAsiaTheme="minorEastAsia"/>
                <w:color w:val="auto"/>
                <w:sz w:val="24"/>
                <w:szCs w:val="22"/>
                <w:highlight w:val="none"/>
              </w:rPr>
              <w:t>180</w:t>
            </w:r>
          </w:p>
        </w:tc>
      </w:tr>
      <w:tr w14:paraId="2416D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9" w:type="pct"/>
          </w:tcPr>
          <w:p w14:paraId="7CFE239A">
            <w:pPr>
              <w:spacing w:line="360" w:lineRule="auto"/>
              <w:jc w:val="center"/>
              <w:rPr>
                <w:rFonts w:hint="default" w:asciiTheme="minorEastAsia" w:hAnsiTheme="minorEastAsia" w:eastAsiaTheme="minorEastAsia"/>
                <w:color w:val="auto"/>
                <w:sz w:val="24"/>
                <w:szCs w:val="22"/>
                <w:highlight w:val="none"/>
                <w:lang w:val="en-US" w:eastAsia="zh-CN"/>
              </w:rPr>
            </w:pPr>
            <w:r>
              <w:rPr>
                <w:rFonts w:hint="eastAsia" w:asciiTheme="minorEastAsia" w:hAnsiTheme="minorEastAsia" w:eastAsiaTheme="minorEastAsia"/>
                <w:color w:val="auto"/>
                <w:sz w:val="24"/>
                <w:szCs w:val="22"/>
                <w:highlight w:val="none"/>
                <w:lang w:val="en-US" w:eastAsia="zh-CN"/>
              </w:rPr>
              <w:t>09包</w:t>
            </w:r>
          </w:p>
        </w:tc>
        <w:tc>
          <w:tcPr>
            <w:tcW w:w="2500" w:type="pct"/>
          </w:tcPr>
          <w:p w14:paraId="33A28689">
            <w:pPr>
              <w:spacing w:line="360" w:lineRule="auto"/>
              <w:jc w:val="center"/>
              <w:rPr>
                <w:rFonts w:hint="eastAsia" w:asciiTheme="minorEastAsia" w:hAnsiTheme="minorEastAsia" w:eastAsiaTheme="minorEastAsia"/>
                <w:color w:val="auto"/>
                <w:sz w:val="24"/>
                <w:szCs w:val="22"/>
                <w:highlight w:val="none"/>
              </w:rPr>
            </w:pPr>
            <w:r>
              <w:rPr>
                <w:rFonts w:hint="eastAsia" w:asciiTheme="minorEastAsia" w:hAnsiTheme="minorEastAsia" w:eastAsiaTheme="minorEastAsia"/>
                <w:color w:val="auto"/>
                <w:sz w:val="24"/>
                <w:szCs w:val="22"/>
                <w:highlight w:val="none"/>
              </w:rPr>
              <w:t>180</w:t>
            </w:r>
          </w:p>
        </w:tc>
      </w:tr>
      <w:tr w14:paraId="12BBC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9" w:type="pct"/>
          </w:tcPr>
          <w:p w14:paraId="3B63D487">
            <w:pPr>
              <w:spacing w:line="360" w:lineRule="auto"/>
              <w:jc w:val="center"/>
              <w:rPr>
                <w:rFonts w:hint="default" w:asciiTheme="minorEastAsia" w:hAnsiTheme="minorEastAsia" w:eastAsiaTheme="minorEastAsia"/>
                <w:color w:val="auto"/>
                <w:sz w:val="24"/>
                <w:szCs w:val="22"/>
                <w:highlight w:val="none"/>
                <w:lang w:val="en-US" w:eastAsia="zh-CN"/>
              </w:rPr>
            </w:pPr>
            <w:r>
              <w:rPr>
                <w:rFonts w:hint="eastAsia" w:asciiTheme="minorEastAsia" w:hAnsiTheme="minorEastAsia" w:eastAsiaTheme="minorEastAsia"/>
                <w:color w:val="auto"/>
                <w:sz w:val="24"/>
                <w:szCs w:val="22"/>
                <w:highlight w:val="none"/>
                <w:lang w:val="en-US" w:eastAsia="zh-CN"/>
              </w:rPr>
              <w:t>共计</w:t>
            </w:r>
          </w:p>
        </w:tc>
        <w:tc>
          <w:tcPr>
            <w:tcW w:w="2500" w:type="pct"/>
          </w:tcPr>
          <w:p w14:paraId="47B1137B">
            <w:pPr>
              <w:spacing w:line="360" w:lineRule="auto"/>
              <w:jc w:val="center"/>
              <w:rPr>
                <w:rFonts w:hint="eastAsia" w:asciiTheme="minorEastAsia" w:hAnsiTheme="minorEastAsia" w:eastAsiaTheme="minorEastAsia"/>
                <w:color w:val="auto"/>
                <w:sz w:val="24"/>
                <w:szCs w:val="22"/>
                <w:highlight w:val="none"/>
              </w:rPr>
            </w:pPr>
            <w:r>
              <w:rPr>
                <w:rFonts w:hint="eastAsia" w:asciiTheme="minorEastAsia" w:hAnsiTheme="minorEastAsia" w:eastAsiaTheme="minorEastAsia"/>
                <w:color w:val="auto"/>
                <w:sz w:val="24"/>
                <w:szCs w:val="22"/>
                <w:highlight w:val="none"/>
              </w:rPr>
              <w:t>7640</w:t>
            </w:r>
          </w:p>
        </w:tc>
      </w:tr>
    </w:tbl>
    <w:p w14:paraId="771A66C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4.最高限价：</w:t>
      </w:r>
    </w:p>
    <w:tbl>
      <w:tblPr>
        <w:tblStyle w:val="26"/>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58"/>
        <w:gridCol w:w="4261"/>
      </w:tblGrid>
      <w:tr w14:paraId="6CD33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499" w:type="pct"/>
          </w:tcPr>
          <w:p w14:paraId="30E7672C">
            <w:pPr>
              <w:spacing w:line="360" w:lineRule="auto"/>
              <w:jc w:val="center"/>
              <w:rPr>
                <w:rFonts w:hint="eastAsia" w:asciiTheme="minorEastAsia" w:hAnsiTheme="minorEastAsia" w:eastAsiaTheme="minorEastAsia"/>
                <w:color w:val="auto"/>
                <w:sz w:val="24"/>
                <w:szCs w:val="22"/>
                <w:highlight w:val="none"/>
              </w:rPr>
            </w:pPr>
            <w:r>
              <w:rPr>
                <w:rFonts w:hint="eastAsia" w:asciiTheme="minorEastAsia" w:hAnsiTheme="minorEastAsia" w:eastAsiaTheme="minorEastAsia"/>
                <w:color w:val="auto"/>
                <w:sz w:val="24"/>
                <w:szCs w:val="22"/>
                <w:highlight w:val="none"/>
              </w:rPr>
              <w:t>分包编号</w:t>
            </w:r>
          </w:p>
        </w:tc>
        <w:tc>
          <w:tcPr>
            <w:tcW w:w="2500" w:type="pct"/>
          </w:tcPr>
          <w:p w14:paraId="41195155">
            <w:pPr>
              <w:spacing w:line="360" w:lineRule="auto"/>
              <w:jc w:val="center"/>
              <w:rPr>
                <w:rFonts w:hint="eastAsia" w:asciiTheme="minorEastAsia" w:hAnsiTheme="minorEastAsia" w:eastAsiaTheme="minorEastAsia"/>
                <w:color w:val="auto"/>
                <w:sz w:val="24"/>
                <w:szCs w:val="22"/>
                <w:highlight w:val="none"/>
              </w:rPr>
            </w:pPr>
            <w:r>
              <w:rPr>
                <w:rFonts w:hint="eastAsia" w:asciiTheme="minorEastAsia" w:hAnsiTheme="minorEastAsia" w:eastAsiaTheme="minorEastAsia"/>
                <w:color w:val="auto"/>
                <w:sz w:val="24"/>
                <w:szCs w:val="22"/>
                <w:highlight w:val="none"/>
              </w:rPr>
              <w:t>最高限价（万元）</w:t>
            </w:r>
          </w:p>
        </w:tc>
      </w:tr>
      <w:tr w14:paraId="4C1DD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9" w:type="pct"/>
          </w:tcPr>
          <w:p w14:paraId="3F2F1DBC">
            <w:pPr>
              <w:spacing w:line="360" w:lineRule="auto"/>
              <w:jc w:val="center"/>
              <w:rPr>
                <w:rFonts w:hint="eastAsia" w:asciiTheme="minorEastAsia" w:hAnsiTheme="minorEastAsia" w:eastAsiaTheme="minorEastAsia"/>
                <w:color w:val="auto"/>
                <w:sz w:val="24"/>
                <w:szCs w:val="22"/>
                <w:highlight w:val="none"/>
              </w:rPr>
            </w:pPr>
            <w:r>
              <w:rPr>
                <w:rFonts w:asciiTheme="minorEastAsia" w:hAnsiTheme="minorEastAsia" w:eastAsiaTheme="minorEastAsia"/>
                <w:color w:val="auto"/>
                <w:sz w:val="24"/>
                <w:szCs w:val="22"/>
                <w:highlight w:val="none"/>
              </w:rPr>
              <w:t>0</w:t>
            </w:r>
            <w:r>
              <w:rPr>
                <w:rFonts w:hint="eastAsia" w:asciiTheme="minorEastAsia" w:hAnsiTheme="minorEastAsia" w:eastAsiaTheme="minorEastAsia"/>
                <w:color w:val="auto"/>
                <w:sz w:val="24"/>
                <w:szCs w:val="22"/>
                <w:highlight w:val="none"/>
              </w:rPr>
              <w:t>1</w:t>
            </w:r>
            <w:r>
              <w:rPr>
                <w:rFonts w:asciiTheme="minorEastAsia" w:hAnsiTheme="minorEastAsia" w:eastAsiaTheme="minorEastAsia"/>
                <w:color w:val="auto"/>
                <w:sz w:val="24"/>
                <w:szCs w:val="22"/>
                <w:highlight w:val="none"/>
              </w:rPr>
              <w:t>包</w:t>
            </w:r>
          </w:p>
        </w:tc>
        <w:tc>
          <w:tcPr>
            <w:tcW w:w="2500" w:type="pct"/>
          </w:tcPr>
          <w:p w14:paraId="39390338">
            <w:pPr>
              <w:spacing w:line="360" w:lineRule="auto"/>
              <w:jc w:val="center"/>
              <w:rPr>
                <w:rFonts w:hint="eastAsia" w:asciiTheme="minorEastAsia" w:hAnsiTheme="minorEastAsia" w:eastAsiaTheme="minorEastAsia"/>
                <w:color w:val="auto"/>
                <w:sz w:val="24"/>
                <w:szCs w:val="22"/>
                <w:highlight w:val="none"/>
              </w:rPr>
            </w:pPr>
            <w:r>
              <w:rPr>
                <w:rFonts w:asciiTheme="minorEastAsia" w:hAnsiTheme="minorEastAsia" w:eastAsiaTheme="minorEastAsia"/>
                <w:color w:val="auto"/>
                <w:sz w:val="24"/>
                <w:szCs w:val="22"/>
                <w:highlight w:val="none"/>
              </w:rPr>
              <w:t>2500</w:t>
            </w:r>
          </w:p>
        </w:tc>
      </w:tr>
      <w:tr w14:paraId="3DBE2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9" w:type="pct"/>
          </w:tcPr>
          <w:p w14:paraId="4997B7E6">
            <w:pPr>
              <w:spacing w:line="360" w:lineRule="auto"/>
              <w:jc w:val="center"/>
              <w:rPr>
                <w:rFonts w:hint="eastAsia" w:asciiTheme="minorEastAsia" w:hAnsiTheme="minorEastAsia" w:eastAsiaTheme="minorEastAsia"/>
                <w:color w:val="auto"/>
                <w:sz w:val="24"/>
                <w:szCs w:val="22"/>
                <w:highlight w:val="none"/>
              </w:rPr>
            </w:pPr>
            <w:r>
              <w:rPr>
                <w:rFonts w:asciiTheme="minorEastAsia" w:hAnsiTheme="minorEastAsia" w:eastAsiaTheme="minorEastAsia"/>
                <w:color w:val="auto"/>
                <w:sz w:val="24"/>
                <w:szCs w:val="22"/>
                <w:highlight w:val="none"/>
              </w:rPr>
              <w:t>0</w:t>
            </w:r>
            <w:r>
              <w:rPr>
                <w:rFonts w:hint="eastAsia" w:asciiTheme="minorEastAsia" w:hAnsiTheme="minorEastAsia" w:eastAsiaTheme="minorEastAsia"/>
                <w:color w:val="auto"/>
                <w:sz w:val="24"/>
                <w:szCs w:val="22"/>
                <w:highlight w:val="none"/>
              </w:rPr>
              <w:t>2</w:t>
            </w:r>
            <w:r>
              <w:rPr>
                <w:rFonts w:asciiTheme="minorEastAsia" w:hAnsiTheme="minorEastAsia" w:eastAsiaTheme="minorEastAsia"/>
                <w:color w:val="auto"/>
                <w:sz w:val="24"/>
                <w:szCs w:val="22"/>
                <w:highlight w:val="none"/>
              </w:rPr>
              <w:t>包</w:t>
            </w:r>
          </w:p>
        </w:tc>
        <w:tc>
          <w:tcPr>
            <w:tcW w:w="2500" w:type="pct"/>
          </w:tcPr>
          <w:p w14:paraId="05E0342B">
            <w:pPr>
              <w:spacing w:line="360" w:lineRule="auto"/>
              <w:jc w:val="center"/>
              <w:rPr>
                <w:rFonts w:hint="eastAsia" w:asciiTheme="minorEastAsia" w:hAnsiTheme="minorEastAsia" w:eastAsiaTheme="minorEastAsia"/>
                <w:color w:val="auto"/>
                <w:sz w:val="24"/>
                <w:szCs w:val="22"/>
                <w:highlight w:val="none"/>
              </w:rPr>
            </w:pPr>
            <w:r>
              <w:rPr>
                <w:rFonts w:asciiTheme="minorEastAsia" w:hAnsiTheme="minorEastAsia" w:eastAsiaTheme="minorEastAsia"/>
                <w:color w:val="auto"/>
                <w:sz w:val="24"/>
                <w:szCs w:val="22"/>
                <w:highlight w:val="none"/>
              </w:rPr>
              <w:t>2000</w:t>
            </w:r>
          </w:p>
        </w:tc>
      </w:tr>
      <w:tr w14:paraId="56985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9" w:type="pct"/>
          </w:tcPr>
          <w:p w14:paraId="573A7674">
            <w:pPr>
              <w:spacing w:line="360" w:lineRule="auto"/>
              <w:jc w:val="center"/>
              <w:rPr>
                <w:rFonts w:hint="eastAsia" w:asciiTheme="minorEastAsia" w:hAnsiTheme="minorEastAsia" w:eastAsiaTheme="minorEastAsia"/>
                <w:color w:val="auto"/>
                <w:sz w:val="24"/>
                <w:szCs w:val="22"/>
                <w:highlight w:val="none"/>
              </w:rPr>
            </w:pPr>
            <w:r>
              <w:rPr>
                <w:rFonts w:asciiTheme="minorEastAsia" w:hAnsiTheme="minorEastAsia" w:eastAsiaTheme="minorEastAsia"/>
                <w:color w:val="auto"/>
                <w:sz w:val="24"/>
                <w:szCs w:val="22"/>
                <w:highlight w:val="none"/>
              </w:rPr>
              <w:t>0</w:t>
            </w:r>
            <w:r>
              <w:rPr>
                <w:rFonts w:hint="eastAsia" w:asciiTheme="minorEastAsia" w:hAnsiTheme="minorEastAsia" w:eastAsiaTheme="minorEastAsia"/>
                <w:color w:val="auto"/>
                <w:sz w:val="24"/>
                <w:szCs w:val="22"/>
                <w:highlight w:val="none"/>
              </w:rPr>
              <w:t>3</w:t>
            </w:r>
            <w:r>
              <w:rPr>
                <w:rFonts w:asciiTheme="minorEastAsia" w:hAnsiTheme="minorEastAsia" w:eastAsiaTheme="minorEastAsia"/>
                <w:color w:val="auto"/>
                <w:sz w:val="24"/>
                <w:szCs w:val="22"/>
                <w:highlight w:val="none"/>
              </w:rPr>
              <w:t>包</w:t>
            </w:r>
          </w:p>
        </w:tc>
        <w:tc>
          <w:tcPr>
            <w:tcW w:w="2500" w:type="pct"/>
          </w:tcPr>
          <w:p w14:paraId="7DCE106D">
            <w:pPr>
              <w:spacing w:line="360" w:lineRule="auto"/>
              <w:jc w:val="center"/>
              <w:rPr>
                <w:rFonts w:hint="eastAsia" w:asciiTheme="minorEastAsia" w:hAnsiTheme="minorEastAsia" w:eastAsiaTheme="minorEastAsia"/>
                <w:color w:val="auto"/>
                <w:sz w:val="24"/>
                <w:szCs w:val="22"/>
                <w:highlight w:val="none"/>
              </w:rPr>
            </w:pPr>
            <w:r>
              <w:rPr>
                <w:rFonts w:asciiTheme="minorEastAsia" w:hAnsiTheme="minorEastAsia" w:eastAsiaTheme="minorEastAsia"/>
                <w:color w:val="auto"/>
                <w:sz w:val="24"/>
                <w:szCs w:val="22"/>
                <w:highlight w:val="none"/>
              </w:rPr>
              <w:t>700</w:t>
            </w:r>
          </w:p>
        </w:tc>
      </w:tr>
      <w:tr w14:paraId="228AB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9" w:type="pct"/>
          </w:tcPr>
          <w:p w14:paraId="4FE58C28">
            <w:pPr>
              <w:spacing w:line="360" w:lineRule="auto"/>
              <w:jc w:val="center"/>
              <w:rPr>
                <w:rFonts w:hint="eastAsia" w:asciiTheme="minorEastAsia" w:hAnsiTheme="minorEastAsia" w:eastAsiaTheme="minorEastAsia"/>
                <w:color w:val="auto"/>
                <w:sz w:val="24"/>
                <w:szCs w:val="22"/>
                <w:highlight w:val="none"/>
              </w:rPr>
            </w:pPr>
            <w:r>
              <w:rPr>
                <w:rFonts w:asciiTheme="minorEastAsia" w:hAnsiTheme="minorEastAsia" w:eastAsiaTheme="minorEastAsia"/>
                <w:color w:val="auto"/>
                <w:sz w:val="24"/>
                <w:szCs w:val="22"/>
                <w:highlight w:val="none"/>
              </w:rPr>
              <w:t>0</w:t>
            </w:r>
            <w:r>
              <w:rPr>
                <w:rFonts w:hint="eastAsia" w:asciiTheme="minorEastAsia" w:hAnsiTheme="minorEastAsia" w:eastAsiaTheme="minorEastAsia"/>
                <w:color w:val="auto"/>
                <w:sz w:val="24"/>
                <w:szCs w:val="22"/>
                <w:highlight w:val="none"/>
              </w:rPr>
              <w:t>4</w:t>
            </w:r>
            <w:r>
              <w:rPr>
                <w:rFonts w:asciiTheme="minorEastAsia" w:hAnsiTheme="minorEastAsia" w:eastAsiaTheme="minorEastAsia"/>
                <w:color w:val="auto"/>
                <w:sz w:val="24"/>
                <w:szCs w:val="22"/>
                <w:highlight w:val="none"/>
              </w:rPr>
              <w:t>包</w:t>
            </w:r>
          </w:p>
        </w:tc>
        <w:tc>
          <w:tcPr>
            <w:tcW w:w="2500" w:type="pct"/>
          </w:tcPr>
          <w:p w14:paraId="4B669CB6">
            <w:pPr>
              <w:spacing w:line="360" w:lineRule="auto"/>
              <w:jc w:val="center"/>
              <w:rPr>
                <w:rFonts w:hint="eastAsia" w:asciiTheme="minorEastAsia" w:hAnsiTheme="minorEastAsia" w:eastAsiaTheme="minorEastAsia"/>
                <w:color w:val="auto"/>
                <w:sz w:val="24"/>
                <w:szCs w:val="22"/>
                <w:highlight w:val="none"/>
              </w:rPr>
            </w:pPr>
            <w:r>
              <w:rPr>
                <w:rFonts w:hint="eastAsia" w:asciiTheme="minorEastAsia" w:hAnsiTheme="minorEastAsia" w:eastAsiaTheme="minorEastAsia"/>
                <w:color w:val="auto"/>
                <w:sz w:val="24"/>
                <w:szCs w:val="22"/>
                <w:highlight w:val="none"/>
                <w:lang w:val="en-US" w:eastAsia="zh-CN"/>
              </w:rPr>
              <w:t>6</w:t>
            </w:r>
            <w:r>
              <w:rPr>
                <w:rFonts w:hint="eastAsia" w:asciiTheme="minorEastAsia" w:hAnsiTheme="minorEastAsia" w:eastAsiaTheme="minorEastAsia"/>
                <w:color w:val="auto"/>
                <w:sz w:val="24"/>
                <w:szCs w:val="22"/>
                <w:highlight w:val="none"/>
              </w:rPr>
              <w:t>00</w:t>
            </w:r>
          </w:p>
        </w:tc>
      </w:tr>
      <w:tr w14:paraId="02CE5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9" w:type="pct"/>
          </w:tcPr>
          <w:p w14:paraId="441445E3">
            <w:pPr>
              <w:spacing w:line="360" w:lineRule="auto"/>
              <w:jc w:val="center"/>
              <w:rPr>
                <w:rFonts w:hint="eastAsia" w:asciiTheme="minorEastAsia" w:hAnsiTheme="minorEastAsia" w:eastAsiaTheme="minorEastAsia"/>
                <w:color w:val="auto"/>
                <w:sz w:val="24"/>
                <w:szCs w:val="22"/>
                <w:highlight w:val="none"/>
              </w:rPr>
            </w:pPr>
            <w:r>
              <w:rPr>
                <w:rFonts w:asciiTheme="minorEastAsia" w:hAnsiTheme="minorEastAsia" w:eastAsiaTheme="minorEastAsia"/>
                <w:color w:val="auto"/>
                <w:sz w:val="24"/>
                <w:szCs w:val="22"/>
                <w:highlight w:val="none"/>
              </w:rPr>
              <w:t>0</w:t>
            </w:r>
            <w:r>
              <w:rPr>
                <w:rFonts w:hint="eastAsia" w:asciiTheme="minorEastAsia" w:hAnsiTheme="minorEastAsia" w:eastAsiaTheme="minorEastAsia"/>
                <w:color w:val="auto"/>
                <w:sz w:val="24"/>
                <w:szCs w:val="22"/>
                <w:highlight w:val="none"/>
              </w:rPr>
              <w:t>5</w:t>
            </w:r>
            <w:r>
              <w:rPr>
                <w:rFonts w:asciiTheme="minorEastAsia" w:hAnsiTheme="minorEastAsia" w:eastAsiaTheme="minorEastAsia"/>
                <w:color w:val="auto"/>
                <w:sz w:val="24"/>
                <w:szCs w:val="22"/>
                <w:highlight w:val="none"/>
              </w:rPr>
              <w:t>包</w:t>
            </w:r>
          </w:p>
        </w:tc>
        <w:tc>
          <w:tcPr>
            <w:tcW w:w="2500" w:type="pct"/>
            <w:vAlign w:val="center"/>
          </w:tcPr>
          <w:p w14:paraId="17E5891D">
            <w:pPr>
              <w:spacing w:line="360" w:lineRule="auto"/>
              <w:jc w:val="center"/>
              <w:rPr>
                <w:rFonts w:hint="default" w:asciiTheme="minorEastAsia" w:hAnsiTheme="minorEastAsia" w:eastAsiaTheme="minorEastAsia"/>
                <w:color w:val="auto"/>
                <w:sz w:val="24"/>
                <w:szCs w:val="22"/>
                <w:highlight w:val="none"/>
                <w:lang w:val="en-US"/>
              </w:rPr>
            </w:pPr>
            <w:r>
              <w:rPr>
                <w:rFonts w:hint="default" w:asciiTheme="minorEastAsia" w:hAnsiTheme="minorEastAsia" w:eastAsiaTheme="minorEastAsia"/>
                <w:color w:val="auto"/>
                <w:sz w:val="24"/>
                <w:szCs w:val="22"/>
                <w:highlight w:val="none"/>
                <w:lang w:val="en-US"/>
              </w:rPr>
              <w:t>200</w:t>
            </w:r>
          </w:p>
        </w:tc>
      </w:tr>
      <w:tr w14:paraId="493BB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9" w:type="pct"/>
          </w:tcPr>
          <w:p w14:paraId="2385C4FB">
            <w:pPr>
              <w:spacing w:line="360" w:lineRule="auto"/>
              <w:jc w:val="center"/>
              <w:rPr>
                <w:rFonts w:hint="eastAsia" w:asciiTheme="minorEastAsia" w:hAnsiTheme="minorEastAsia" w:eastAsiaTheme="minorEastAsia"/>
                <w:color w:val="auto"/>
                <w:sz w:val="24"/>
                <w:szCs w:val="22"/>
                <w:highlight w:val="none"/>
              </w:rPr>
            </w:pPr>
            <w:r>
              <w:rPr>
                <w:rFonts w:hint="eastAsia" w:asciiTheme="minorEastAsia" w:hAnsiTheme="minorEastAsia" w:eastAsiaTheme="minorEastAsia"/>
                <w:color w:val="auto"/>
                <w:sz w:val="24"/>
                <w:szCs w:val="22"/>
                <w:highlight w:val="none"/>
              </w:rPr>
              <w:t>06包</w:t>
            </w:r>
          </w:p>
        </w:tc>
        <w:tc>
          <w:tcPr>
            <w:tcW w:w="2500" w:type="pct"/>
          </w:tcPr>
          <w:p w14:paraId="70B0B50D">
            <w:pPr>
              <w:spacing w:line="360" w:lineRule="auto"/>
              <w:jc w:val="center"/>
              <w:rPr>
                <w:rFonts w:hint="default" w:asciiTheme="minorEastAsia" w:hAnsiTheme="minorEastAsia" w:eastAsiaTheme="minorEastAsia"/>
                <w:color w:val="auto"/>
                <w:sz w:val="24"/>
                <w:szCs w:val="22"/>
                <w:highlight w:val="none"/>
                <w:lang w:val="en-US" w:eastAsia="zh-CN"/>
              </w:rPr>
            </w:pPr>
            <w:r>
              <w:rPr>
                <w:rFonts w:hint="default" w:asciiTheme="minorEastAsia" w:hAnsiTheme="minorEastAsia" w:eastAsiaTheme="minorEastAsia"/>
                <w:color w:val="auto"/>
                <w:sz w:val="24"/>
                <w:szCs w:val="22"/>
                <w:highlight w:val="none"/>
                <w:lang w:val="en-US" w:eastAsia="zh-CN"/>
              </w:rPr>
              <w:t>720</w:t>
            </w:r>
          </w:p>
        </w:tc>
      </w:tr>
      <w:tr w14:paraId="0C2E0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9" w:type="pct"/>
          </w:tcPr>
          <w:p w14:paraId="5F4DED65">
            <w:pPr>
              <w:spacing w:line="360" w:lineRule="auto"/>
              <w:jc w:val="center"/>
              <w:rPr>
                <w:rFonts w:hint="eastAsia" w:asciiTheme="minorEastAsia" w:hAnsiTheme="minorEastAsia" w:eastAsiaTheme="minorEastAsia"/>
                <w:color w:val="auto"/>
                <w:sz w:val="24"/>
                <w:szCs w:val="22"/>
                <w:highlight w:val="none"/>
              </w:rPr>
            </w:pPr>
            <w:r>
              <w:rPr>
                <w:rFonts w:hint="eastAsia" w:asciiTheme="minorEastAsia" w:hAnsiTheme="minorEastAsia" w:eastAsiaTheme="minorEastAsia"/>
                <w:color w:val="auto"/>
                <w:sz w:val="24"/>
                <w:szCs w:val="22"/>
                <w:highlight w:val="none"/>
              </w:rPr>
              <w:t>07包</w:t>
            </w:r>
          </w:p>
        </w:tc>
        <w:tc>
          <w:tcPr>
            <w:tcW w:w="2500" w:type="pct"/>
          </w:tcPr>
          <w:p w14:paraId="7994798A">
            <w:pPr>
              <w:spacing w:line="360" w:lineRule="auto"/>
              <w:jc w:val="center"/>
              <w:rPr>
                <w:rFonts w:hint="default" w:asciiTheme="minorEastAsia" w:hAnsiTheme="minorEastAsia" w:eastAsiaTheme="minorEastAsia"/>
                <w:color w:val="auto"/>
                <w:sz w:val="24"/>
                <w:szCs w:val="22"/>
                <w:highlight w:val="none"/>
                <w:lang w:val="en-US"/>
              </w:rPr>
            </w:pPr>
            <w:r>
              <w:rPr>
                <w:rFonts w:hint="default" w:asciiTheme="minorEastAsia" w:hAnsiTheme="minorEastAsia" w:eastAsiaTheme="minorEastAsia"/>
                <w:color w:val="auto"/>
                <w:sz w:val="24"/>
                <w:szCs w:val="22"/>
                <w:highlight w:val="none"/>
                <w:lang w:val="en-US"/>
              </w:rPr>
              <w:t>560</w:t>
            </w:r>
          </w:p>
        </w:tc>
      </w:tr>
      <w:tr w14:paraId="1C277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9" w:type="pct"/>
          </w:tcPr>
          <w:p w14:paraId="0E2250EA">
            <w:pPr>
              <w:spacing w:line="360" w:lineRule="auto"/>
              <w:jc w:val="center"/>
              <w:rPr>
                <w:rFonts w:hint="eastAsia" w:asciiTheme="minorEastAsia" w:hAnsiTheme="minorEastAsia" w:eastAsiaTheme="minorEastAsia"/>
                <w:color w:val="auto"/>
                <w:sz w:val="24"/>
                <w:szCs w:val="22"/>
                <w:highlight w:val="none"/>
              </w:rPr>
            </w:pPr>
            <w:r>
              <w:rPr>
                <w:rFonts w:hint="eastAsia" w:asciiTheme="minorEastAsia" w:hAnsiTheme="minorEastAsia" w:eastAsiaTheme="minorEastAsia"/>
                <w:color w:val="auto"/>
                <w:sz w:val="24"/>
                <w:szCs w:val="22"/>
                <w:highlight w:val="none"/>
              </w:rPr>
              <w:t>08包</w:t>
            </w:r>
          </w:p>
        </w:tc>
        <w:tc>
          <w:tcPr>
            <w:tcW w:w="2500" w:type="pct"/>
          </w:tcPr>
          <w:p w14:paraId="6035ADE7">
            <w:pPr>
              <w:spacing w:line="360" w:lineRule="auto"/>
              <w:jc w:val="center"/>
              <w:rPr>
                <w:rFonts w:hint="eastAsia" w:asciiTheme="minorEastAsia" w:hAnsiTheme="minorEastAsia" w:eastAsiaTheme="minorEastAsia"/>
                <w:color w:val="auto"/>
                <w:sz w:val="24"/>
                <w:szCs w:val="22"/>
                <w:highlight w:val="none"/>
              </w:rPr>
            </w:pPr>
            <w:r>
              <w:rPr>
                <w:rFonts w:hint="eastAsia" w:asciiTheme="minorEastAsia" w:hAnsiTheme="minorEastAsia" w:eastAsiaTheme="minorEastAsia"/>
                <w:color w:val="auto"/>
                <w:sz w:val="24"/>
                <w:szCs w:val="22"/>
                <w:highlight w:val="none"/>
              </w:rPr>
              <w:t>180</w:t>
            </w:r>
          </w:p>
        </w:tc>
      </w:tr>
      <w:tr w14:paraId="5755C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9" w:type="pct"/>
          </w:tcPr>
          <w:p w14:paraId="1832F468">
            <w:pPr>
              <w:spacing w:line="360" w:lineRule="auto"/>
              <w:jc w:val="center"/>
              <w:rPr>
                <w:rFonts w:hint="default" w:asciiTheme="minorEastAsia" w:hAnsiTheme="minorEastAsia" w:eastAsiaTheme="minorEastAsia"/>
                <w:color w:val="auto"/>
                <w:sz w:val="24"/>
                <w:szCs w:val="22"/>
                <w:highlight w:val="none"/>
                <w:lang w:val="en-US" w:eastAsia="zh-CN"/>
              </w:rPr>
            </w:pPr>
            <w:r>
              <w:rPr>
                <w:rFonts w:hint="eastAsia" w:asciiTheme="minorEastAsia" w:hAnsiTheme="minorEastAsia" w:eastAsiaTheme="minorEastAsia"/>
                <w:color w:val="auto"/>
                <w:sz w:val="24"/>
                <w:szCs w:val="22"/>
                <w:highlight w:val="none"/>
                <w:lang w:val="en-US" w:eastAsia="zh-CN"/>
              </w:rPr>
              <w:t>09包</w:t>
            </w:r>
          </w:p>
        </w:tc>
        <w:tc>
          <w:tcPr>
            <w:tcW w:w="2500" w:type="pct"/>
          </w:tcPr>
          <w:p w14:paraId="061B1C51">
            <w:pPr>
              <w:spacing w:line="360" w:lineRule="auto"/>
              <w:jc w:val="center"/>
              <w:rPr>
                <w:rFonts w:hint="eastAsia" w:asciiTheme="minorEastAsia" w:hAnsiTheme="minorEastAsia" w:eastAsiaTheme="minorEastAsia"/>
                <w:color w:val="auto"/>
                <w:sz w:val="24"/>
                <w:szCs w:val="22"/>
                <w:highlight w:val="none"/>
              </w:rPr>
            </w:pPr>
            <w:r>
              <w:rPr>
                <w:rFonts w:hint="eastAsia" w:asciiTheme="minorEastAsia" w:hAnsiTheme="minorEastAsia" w:eastAsiaTheme="minorEastAsia"/>
                <w:color w:val="auto"/>
                <w:sz w:val="24"/>
                <w:szCs w:val="22"/>
                <w:highlight w:val="none"/>
              </w:rPr>
              <w:t>180</w:t>
            </w:r>
          </w:p>
        </w:tc>
      </w:tr>
      <w:tr w14:paraId="468FE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9" w:type="pct"/>
          </w:tcPr>
          <w:p w14:paraId="061B352F">
            <w:pPr>
              <w:spacing w:line="360" w:lineRule="auto"/>
              <w:jc w:val="center"/>
              <w:rPr>
                <w:rFonts w:hint="default" w:asciiTheme="minorEastAsia" w:hAnsiTheme="minorEastAsia" w:eastAsiaTheme="minorEastAsia"/>
                <w:color w:val="auto"/>
                <w:sz w:val="24"/>
                <w:szCs w:val="22"/>
                <w:highlight w:val="none"/>
                <w:lang w:val="en-US" w:eastAsia="zh-CN"/>
              </w:rPr>
            </w:pPr>
            <w:r>
              <w:rPr>
                <w:rFonts w:hint="eastAsia" w:asciiTheme="minorEastAsia" w:hAnsiTheme="minorEastAsia" w:eastAsiaTheme="minorEastAsia"/>
                <w:color w:val="auto"/>
                <w:sz w:val="24"/>
                <w:szCs w:val="22"/>
                <w:highlight w:val="none"/>
                <w:lang w:val="en-US" w:eastAsia="zh-CN"/>
              </w:rPr>
              <w:t>共计</w:t>
            </w:r>
          </w:p>
        </w:tc>
        <w:tc>
          <w:tcPr>
            <w:tcW w:w="2500" w:type="pct"/>
          </w:tcPr>
          <w:p w14:paraId="3A5A2C23">
            <w:pPr>
              <w:spacing w:line="360" w:lineRule="auto"/>
              <w:jc w:val="center"/>
              <w:rPr>
                <w:rFonts w:hint="eastAsia" w:asciiTheme="minorEastAsia" w:hAnsiTheme="minorEastAsia" w:eastAsiaTheme="minorEastAsia"/>
                <w:color w:val="auto"/>
                <w:sz w:val="24"/>
                <w:szCs w:val="22"/>
                <w:highlight w:val="none"/>
              </w:rPr>
            </w:pPr>
            <w:r>
              <w:rPr>
                <w:rFonts w:hint="eastAsia" w:asciiTheme="minorEastAsia" w:hAnsiTheme="minorEastAsia" w:eastAsiaTheme="minorEastAsia"/>
                <w:color w:val="auto"/>
                <w:sz w:val="24"/>
                <w:szCs w:val="22"/>
                <w:highlight w:val="none"/>
              </w:rPr>
              <w:t>7640</w:t>
            </w:r>
          </w:p>
        </w:tc>
      </w:tr>
    </w:tbl>
    <w:p w14:paraId="581513B5">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5.采购需求：</w:t>
      </w:r>
      <w:r>
        <w:rPr>
          <w:rFonts w:hint="eastAsia" w:asciiTheme="minorEastAsia" w:hAnsiTheme="minorEastAsia" w:eastAsiaTheme="minorEastAsia" w:cstheme="minorEastAsia"/>
          <w:color w:val="auto"/>
          <w:sz w:val="24"/>
          <w:szCs w:val="24"/>
          <w:highlight w:val="none"/>
        </w:rPr>
        <w:t>濉溪县中医医院拟采购一批医疗设备</w:t>
      </w:r>
      <w:r>
        <w:rPr>
          <w:rFonts w:hint="eastAsia" w:ascii="宋体" w:hAnsi="宋体" w:eastAsia="宋体"/>
          <w:color w:val="auto"/>
          <w:sz w:val="24"/>
          <w:szCs w:val="18"/>
          <w:highlight w:val="none"/>
        </w:rPr>
        <w:t>，具体详见招标文件。</w:t>
      </w:r>
    </w:p>
    <w:p w14:paraId="3BA1E277">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6.合同履行期限：</w:t>
      </w:r>
      <w:r>
        <w:rPr>
          <w:rFonts w:hint="eastAsia" w:ascii="宋体" w:hAnsi="宋体" w:eastAsia="宋体"/>
          <w:color w:val="auto"/>
          <w:sz w:val="24"/>
          <w:szCs w:val="18"/>
          <w:highlight w:val="none"/>
        </w:rPr>
        <w:t>01包、02包、03包、04包、05包合同签订后60天内完成交货、安装调试并具备验收条件</w:t>
      </w:r>
      <w:r>
        <w:rPr>
          <w:rFonts w:hint="eastAsia" w:ascii="宋体" w:hAnsi="宋体" w:eastAsia="宋体"/>
          <w:color w:val="auto"/>
          <w:sz w:val="24"/>
          <w:szCs w:val="18"/>
          <w:highlight w:val="none"/>
          <w:lang w:eastAsia="zh-CN"/>
        </w:rPr>
        <w:t>；</w:t>
      </w:r>
      <w:r>
        <w:rPr>
          <w:rFonts w:hint="eastAsia" w:ascii="宋体" w:hAnsi="宋体" w:eastAsia="宋体"/>
          <w:color w:val="auto"/>
          <w:sz w:val="24"/>
          <w:szCs w:val="18"/>
          <w:highlight w:val="none"/>
        </w:rPr>
        <w:t>06包、07包、08包、09包合同签订后45天内完成交货、安装调试并具备验收条件。</w:t>
      </w:r>
    </w:p>
    <w:p w14:paraId="4C79D5A8">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7.本项目不接受联合体投标。</w:t>
      </w:r>
    </w:p>
    <w:p w14:paraId="7906737B">
      <w:pPr>
        <w:spacing w:line="360" w:lineRule="auto"/>
        <w:ind w:firstLine="437"/>
        <w:outlineLvl w:val="1"/>
        <w:rPr>
          <w:rFonts w:hint="eastAsia" w:ascii="宋体" w:hAnsi="宋体" w:eastAsia="宋体"/>
          <w:b/>
          <w:bCs/>
          <w:color w:val="auto"/>
          <w:sz w:val="24"/>
          <w:szCs w:val="18"/>
          <w:highlight w:val="none"/>
        </w:rPr>
      </w:pPr>
      <w:bookmarkStart w:id="6" w:name="_Toc13530"/>
      <w:bookmarkStart w:id="7" w:name="_Toc221656347"/>
      <w:bookmarkStart w:id="8" w:name="_Toc26178"/>
      <w:r>
        <w:rPr>
          <w:rFonts w:hint="eastAsia" w:ascii="宋体" w:hAnsi="宋体" w:eastAsia="宋体"/>
          <w:b/>
          <w:bCs/>
          <w:color w:val="auto"/>
          <w:sz w:val="24"/>
          <w:szCs w:val="18"/>
          <w:highlight w:val="none"/>
        </w:rPr>
        <w:t>二、</w:t>
      </w:r>
      <w:bookmarkEnd w:id="6"/>
      <w:r>
        <w:rPr>
          <w:rFonts w:hint="eastAsia" w:ascii="宋体" w:hAnsi="宋体" w:eastAsia="宋体"/>
          <w:b/>
          <w:bCs/>
          <w:color w:val="auto"/>
          <w:sz w:val="24"/>
          <w:szCs w:val="18"/>
          <w:highlight w:val="none"/>
        </w:rPr>
        <w:t>申请人的资格要求</w:t>
      </w:r>
      <w:bookmarkEnd w:id="7"/>
      <w:bookmarkEnd w:id="8"/>
    </w:p>
    <w:p w14:paraId="078933A4">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1.满足《中华人民共和国政府采购法》第二十二条规定；</w:t>
      </w:r>
    </w:p>
    <w:p w14:paraId="358EDB18">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2.落实政府采购政策需满足的资格要求：</w:t>
      </w:r>
    </w:p>
    <w:p w14:paraId="4477EA41">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2.1中小企业政策（本项目适用2.1.1条）</w:t>
      </w:r>
    </w:p>
    <w:p w14:paraId="4762A4D7">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2.1.1本项目不专门面向中小企业预留采购份额。</w:t>
      </w:r>
    </w:p>
    <w:p w14:paraId="2E5AB528">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具体原因如下：按照本办法规定预留采购份额无法确保充分供应、充分竞争，或者存在可能影响政府采购目标实现的情形。如对此项内容有质疑,可通过书面或电子形式进行质疑。具体要求详见招标文件“投标人须知”中。</w:t>
      </w:r>
    </w:p>
    <w:p w14:paraId="68E48C55">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2.1.2本项目专门面向</w:t>
      </w:r>
      <w:r>
        <w:rPr>
          <w:rFonts w:asciiTheme="minorEastAsia" w:hAnsiTheme="minorEastAsia" w:eastAsiaTheme="minorEastAsia"/>
          <w:color w:val="auto"/>
          <w:sz w:val="24"/>
          <w:highlight w:val="none"/>
          <w:u w:val="single"/>
        </w:rPr>
        <w:t>_</w:t>
      </w:r>
      <w:r>
        <w:rPr>
          <w:rFonts w:hint="eastAsia" w:asciiTheme="minorEastAsia" w:hAnsiTheme="minorEastAsia" w:eastAsiaTheme="minorEastAsia"/>
          <w:color w:val="auto"/>
          <w:sz w:val="24"/>
          <w:highlight w:val="none"/>
          <w:u w:val="single"/>
        </w:rPr>
        <w:t>/</w:t>
      </w:r>
      <w:r>
        <w:rPr>
          <w:rFonts w:asciiTheme="minorEastAsia" w:hAnsiTheme="minorEastAsia" w:eastAsiaTheme="minorEastAsia"/>
          <w:color w:val="auto"/>
          <w:sz w:val="24"/>
          <w:highlight w:val="none"/>
          <w:u w:val="single"/>
        </w:rPr>
        <w:t>_</w:t>
      </w:r>
      <w:r>
        <w:rPr>
          <w:rFonts w:hint="eastAsia" w:asciiTheme="minorEastAsia" w:hAnsiTheme="minorEastAsia" w:eastAsiaTheme="minorEastAsia"/>
          <w:color w:val="auto"/>
          <w:sz w:val="24"/>
          <w:highlight w:val="none"/>
        </w:rPr>
        <w:t>采购。企业划型标准按照《关于印发中小企业划型标准规定的通知》（工信部联企业〔2011〕300号）规定执行。</w:t>
      </w:r>
    </w:p>
    <w:p w14:paraId="22E879B0">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2.1.3本项目预留部分采购项目预算专门面向中小企业采购。对于预留份额，即货物由中小企业制造、服务由中小企业承接、工程由中小企业承建。预留份额通过以下措施进行：</w:t>
      </w:r>
      <w:r>
        <w:rPr>
          <w:rFonts w:asciiTheme="minorEastAsia" w:hAnsiTheme="minorEastAsia" w:eastAsiaTheme="minorEastAsia"/>
          <w:color w:val="auto"/>
          <w:sz w:val="24"/>
          <w:highlight w:val="none"/>
          <w:u w:val="single"/>
        </w:rPr>
        <w:t>_</w:t>
      </w:r>
      <w:r>
        <w:rPr>
          <w:rFonts w:hint="eastAsia" w:asciiTheme="minorEastAsia" w:hAnsiTheme="minorEastAsia" w:eastAsiaTheme="minorEastAsia"/>
          <w:color w:val="auto"/>
          <w:sz w:val="24"/>
          <w:highlight w:val="none"/>
          <w:u w:val="single"/>
        </w:rPr>
        <w:t>/</w:t>
      </w:r>
      <w:r>
        <w:rPr>
          <w:rFonts w:asciiTheme="minorEastAsia" w:hAnsiTheme="minorEastAsia" w:eastAsiaTheme="minorEastAsia"/>
          <w:color w:val="auto"/>
          <w:sz w:val="24"/>
          <w:highlight w:val="none"/>
          <w:u w:val="single"/>
        </w:rPr>
        <w:t>_</w:t>
      </w:r>
      <w:r>
        <w:rPr>
          <w:rFonts w:hint="eastAsia" w:asciiTheme="minorEastAsia" w:hAnsiTheme="minorEastAsia" w:eastAsiaTheme="minorEastAsia"/>
          <w:color w:val="auto"/>
          <w:sz w:val="24"/>
          <w:highlight w:val="none"/>
        </w:rPr>
        <w:t>。企业划型标准按照《关于印发中小企业划型标准规定的通知》（工信部联企业〔2011〕300号）规定执行。</w:t>
      </w:r>
    </w:p>
    <w:p w14:paraId="4B91227D">
      <w:pPr>
        <w:spacing w:line="360" w:lineRule="auto"/>
        <w:ind w:firstLine="435"/>
        <w:rPr>
          <w:rFonts w:hint="eastAsia"/>
          <w:color w:val="auto"/>
          <w:highlight w:val="none"/>
        </w:rPr>
      </w:pPr>
      <w:bookmarkStart w:id="145" w:name="_GoBack"/>
      <w:bookmarkEnd w:id="145"/>
      <w:r>
        <w:rPr>
          <w:rFonts w:asciiTheme="minorEastAsia" w:hAnsiTheme="minorEastAsia" w:eastAsiaTheme="minorEastAsia"/>
          <w:color w:val="auto"/>
          <w:sz w:val="24"/>
          <w:highlight w:val="none"/>
        </w:rPr>
        <w:t>2.2</w:t>
      </w:r>
      <w:r>
        <w:rPr>
          <w:rFonts w:hint="eastAsia" w:asciiTheme="minorEastAsia" w:hAnsiTheme="minorEastAsia" w:eastAsiaTheme="minorEastAsia"/>
          <w:color w:val="auto"/>
          <w:sz w:val="24"/>
          <w:highlight w:val="none"/>
        </w:rPr>
        <w:t>其它落实政府采购政策的资格要求：</w:t>
      </w:r>
      <w:r>
        <w:rPr>
          <w:rFonts w:asciiTheme="minorEastAsia" w:hAnsiTheme="minorEastAsia" w:eastAsiaTheme="minorEastAsia"/>
          <w:color w:val="auto"/>
          <w:sz w:val="24"/>
          <w:highlight w:val="none"/>
          <w:u w:val="single"/>
        </w:rPr>
        <w:t>_</w:t>
      </w:r>
      <w:r>
        <w:rPr>
          <w:rFonts w:hint="eastAsia" w:asciiTheme="minorEastAsia" w:hAnsiTheme="minorEastAsia" w:eastAsiaTheme="minorEastAsia"/>
          <w:color w:val="auto"/>
          <w:sz w:val="24"/>
          <w:highlight w:val="none"/>
          <w:u w:val="single"/>
        </w:rPr>
        <w:t>/</w:t>
      </w:r>
      <w:r>
        <w:rPr>
          <w:rFonts w:asciiTheme="minorEastAsia" w:hAnsiTheme="minorEastAsia" w:eastAsiaTheme="minorEastAsia"/>
          <w:color w:val="auto"/>
          <w:sz w:val="24"/>
          <w:highlight w:val="none"/>
          <w:u w:val="single"/>
        </w:rPr>
        <w:t>_</w:t>
      </w:r>
      <w:r>
        <w:rPr>
          <w:rFonts w:hint="eastAsia" w:asciiTheme="minorEastAsia" w:hAnsiTheme="minorEastAsia" w:eastAsiaTheme="minorEastAsia"/>
          <w:color w:val="auto"/>
          <w:sz w:val="24"/>
          <w:highlight w:val="none"/>
        </w:rPr>
        <w:t>。</w:t>
      </w:r>
    </w:p>
    <w:p w14:paraId="19E4EF2D">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3.本项目的特定资格要求：</w:t>
      </w:r>
    </w:p>
    <w:p w14:paraId="7EB85C0C">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投标产品依法应纳入医疗器械管理时，须满足以下条件：</w:t>
      </w:r>
    </w:p>
    <w:p w14:paraId="01B03C3D">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①投标产品制造商在中国关境内时，须具有有效的医疗器械生产许可证（适用第二类和第三类医疗器械）。</w:t>
      </w:r>
    </w:p>
    <w:p w14:paraId="610397A5">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②经销/代理商投标时，须具有有效的医疗器械经营许可证（适用第三类医疗器械）。</w:t>
      </w:r>
    </w:p>
    <w:p w14:paraId="61DD8A94">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③投标产品须具有有效的医疗器械注册证（适用第二类和第三类医疗器械）。</w:t>
      </w:r>
    </w:p>
    <w:p w14:paraId="0B1A475B">
      <w:pPr>
        <w:spacing w:line="360" w:lineRule="auto"/>
        <w:ind w:firstLine="435"/>
        <w:rPr>
          <w:rFonts w:hint="eastAsia"/>
          <w:color w:val="auto"/>
          <w:highlight w:val="none"/>
        </w:rPr>
      </w:pPr>
      <w:r>
        <w:rPr>
          <w:rFonts w:hint="eastAsia" w:asciiTheme="minorEastAsia" w:hAnsiTheme="minorEastAsia" w:eastAsiaTheme="minorEastAsia"/>
          <w:color w:val="auto"/>
          <w:sz w:val="24"/>
          <w:highlight w:val="none"/>
        </w:rPr>
        <w:t>④投标产品纳入备案管理时，须在投标文件中提供备案证明材料或承诺函，承诺在合同签订前提供所投产品的备案证明材料，若未按规定提供视为自动放弃中标资格。</w:t>
      </w:r>
    </w:p>
    <w:p w14:paraId="0A301DA4">
      <w:pPr>
        <w:spacing w:line="360" w:lineRule="auto"/>
        <w:ind w:firstLine="437"/>
        <w:outlineLvl w:val="1"/>
        <w:rPr>
          <w:rFonts w:hint="eastAsia" w:ascii="宋体" w:hAnsi="宋体" w:eastAsia="宋体"/>
          <w:b/>
          <w:bCs/>
          <w:color w:val="auto"/>
          <w:sz w:val="24"/>
          <w:szCs w:val="18"/>
          <w:highlight w:val="none"/>
        </w:rPr>
      </w:pPr>
      <w:bookmarkStart w:id="9" w:name="_Toc30110"/>
      <w:bookmarkStart w:id="10" w:name="_Toc32089"/>
      <w:bookmarkStart w:id="11" w:name="_Toc221656348"/>
      <w:r>
        <w:rPr>
          <w:rFonts w:hint="eastAsia" w:ascii="宋体" w:hAnsi="宋体" w:eastAsia="宋体"/>
          <w:b/>
          <w:bCs/>
          <w:color w:val="auto"/>
          <w:sz w:val="24"/>
          <w:szCs w:val="18"/>
          <w:highlight w:val="none"/>
        </w:rPr>
        <w:t>三、</w:t>
      </w:r>
      <w:bookmarkEnd w:id="9"/>
      <w:r>
        <w:rPr>
          <w:rFonts w:hint="eastAsia" w:ascii="宋体" w:hAnsi="宋体" w:eastAsia="宋体"/>
          <w:b/>
          <w:bCs/>
          <w:color w:val="auto"/>
          <w:sz w:val="24"/>
          <w:szCs w:val="18"/>
          <w:highlight w:val="none"/>
        </w:rPr>
        <w:t>获取招标文件</w:t>
      </w:r>
      <w:bookmarkEnd w:id="10"/>
      <w:bookmarkEnd w:id="11"/>
    </w:p>
    <w:p w14:paraId="72EDDD2A">
      <w:pPr>
        <w:spacing w:line="360" w:lineRule="auto"/>
        <w:ind w:firstLine="435"/>
        <w:rPr>
          <w:rFonts w:hint="eastAsia" w:asciiTheme="minorEastAsia" w:hAnsiTheme="minorEastAsia" w:eastAsiaTheme="minorEastAsia"/>
          <w:color w:val="auto"/>
          <w:sz w:val="24"/>
          <w:highlight w:val="none"/>
        </w:rPr>
      </w:pPr>
      <w:bookmarkStart w:id="12" w:name="_Toc7957"/>
      <w:r>
        <w:rPr>
          <w:rFonts w:hint="eastAsia" w:asciiTheme="minorEastAsia" w:hAnsiTheme="minorEastAsia" w:eastAsiaTheme="minorEastAsia"/>
          <w:color w:val="auto"/>
          <w:sz w:val="24"/>
          <w:highlight w:val="none"/>
        </w:rPr>
        <w:t>时间：2026年6月  日17点30分至 2026年6月 日17点30分（北京时间）</w:t>
      </w:r>
    </w:p>
    <w:p w14:paraId="2A4A8421">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地点：淮北市公共资源交易中心网站</w:t>
      </w:r>
    </w:p>
    <w:p w14:paraId="07BBA0D0">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方式：（1）投标人须登录淮北市公共资源交易电子交易系统查阅招标文件。首次登录须持有电子交易系统兼容的数字证书。办理数字证书咨询电话：0561-3199732。</w:t>
      </w:r>
    </w:p>
    <w:p w14:paraId="4414EF3A">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（2）招标文件获取过程中有任何疑问，请在工作时间拨打技术支持热线（非项目咨询）：0512-58188516。项目咨询请拨打电话：18217717520。</w:t>
      </w:r>
    </w:p>
    <w:p w14:paraId="722A6F97">
      <w:pPr>
        <w:pStyle w:val="2"/>
        <w:ind w:firstLine="480"/>
        <w:rPr>
          <w:rFonts w:hint="eastAsia" w:asciiTheme="minorEastAsia" w:hAnsiTheme="minorEastAsia" w:eastAsiaTheme="minorEastAsia" w:cstheme="minorEastAsia"/>
          <w:b w:val="0"/>
          <w:color w:val="auto"/>
          <w:kern w:val="2"/>
          <w:szCs w:val="24"/>
          <w:highlight w:val="none"/>
        </w:rPr>
      </w:pPr>
      <w:r>
        <w:rPr>
          <w:rFonts w:hint="eastAsia" w:asciiTheme="minorEastAsia" w:hAnsiTheme="minorEastAsia" w:eastAsiaTheme="minorEastAsia" w:cstheme="minorEastAsia"/>
          <w:b w:val="0"/>
          <w:color w:val="auto"/>
          <w:kern w:val="2"/>
          <w:szCs w:val="24"/>
          <w:highlight w:val="none"/>
        </w:rPr>
        <w:t>售价：免费</w:t>
      </w:r>
    </w:p>
    <w:p w14:paraId="6107E6CB">
      <w:pPr>
        <w:spacing w:line="360" w:lineRule="auto"/>
        <w:ind w:firstLine="437"/>
        <w:outlineLvl w:val="1"/>
        <w:rPr>
          <w:rFonts w:hint="eastAsia" w:ascii="宋体" w:hAnsi="宋体" w:eastAsia="宋体"/>
          <w:b/>
          <w:bCs/>
          <w:color w:val="auto"/>
          <w:sz w:val="24"/>
          <w:szCs w:val="18"/>
          <w:highlight w:val="none"/>
        </w:rPr>
      </w:pPr>
      <w:bookmarkStart w:id="13" w:name="_Toc221656349"/>
      <w:bookmarkStart w:id="14" w:name="_Toc19726"/>
      <w:r>
        <w:rPr>
          <w:rFonts w:hint="eastAsia" w:ascii="宋体" w:hAnsi="宋体" w:eastAsia="宋体"/>
          <w:b/>
          <w:bCs/>
          <w:color w:val="auto"/>
          <w:sz w:val="24"/>
          <w:szCs w:val="18"/>
          <w:highlight w:val="none"/>
        </w:rPr>
        <w:t>四、</w:t>
      </w:r>
      <w:bookmarkEnd w:id="12"/>
      <w:r>
        <w:rPr>
          <w:rFonts w:hint="eastAsia" w:ascii="宋体" w:hAnsi="宋体" w:eastAsia="宋体"/>
          <w:b/>
          <w:bCs/>
          <w:color w:val="auto"/>
          <w:sz w:val="24"/>
          <w:szCs w:val="18"/>
          <w:highlight w:val="none"/>
        </w:rPr>
        <w:t>提交投标文件截止时间、开标时间和地点</w:t>
      </w:r>
      <w:bookmarkEnd w:id="13"/>
      <w:bookmarkEnd w:id="14"/>
    </w:p>
    <w:p w14:paraId="072DEC2A">
      <w:pPr>
        <w:spacing w:line="360" w:lineRule="auto"/>
        <w:ind w:firstLine="480" w:firstLineChars="200"/>
        <w:rPr>
          <w:rFonts w:hint="eastAsia" w:asciiTheme="minorEastAsia" w:hAnsiTheme="minorEastAsia" w:eastAsiaTheme="minorEastAsia" w:cstheme="minorEastAsia"/>
          <w:bCs/>
          <w:color w:val="auto"/>
          <w:sz w:val="24"/>
          <w:szCs w:val="24"/>
          <w:highlight w:val="none"/>
        </w:rPr>
      </w:pPr>
      <w:bookmarkStart w:id="15" w:name="_Toc5082"/>
      <w:r>
        <w:rPr>
          <w:rFonts w:hint="eastAsia" w:asciiTheme="minorEastAsia" w:hAnsiTheme="minorEastAsia" w:eastAsiaTheme="minorEastAsia" w:cstheme="minorEastAsia"/>
          <w:bCs/>
          <w:color w:val="auto"/>
          <w:sz w:val="24"/>
          <w:szCs w:val="24"/>
          <w:highlight w:val="none"/>
        </w:rPr>
        <w:t>2026年6月  日9点00分（北京时间）</w:t>
      </w:r>
    </w:p>
    <w:p w14:paraId="07C9C8C0">
      <w:pPr>
        <w:spacing w:line="360" w:lineRule="auto"/>
        <w:ind w:firstLine="480" w:firstLineChars="200"/>
        <w:rPr>
          <w:rFonts w:hint="eastAsia" w:asciiTheme="minorEastAsia" w:hAnsiTheme="minorEastAsia" w:eastAsiaTheme="minorEastAsia"/>
          <w:color w:val="auto"/>
          <w:sz w:val="24"/>
          <w:highlight w:val="none"/>
        </w:rPr>
      </w:pPr>
      <w:r>
        <w:rPr>
          <w:rFonts w:hint="eastAsia" w:asciiTheme="minorEastAsia" w:hAnsiTheme="minorEastAsia" w:eastAsiaTheme="minorEastAsia" w:cstheme="minorEastAsia"/>
          <w:color w:val="auto"/>
          <w:sz w:val="24"/>
          <w:szCs w:val="24"/>
          <w:highlight w:val="none"/>
        </w:rPr>
        <w:t>地点：</w:t>
      </w:r>
      <w:r>
        <w:rPr>
          <w:rFonts w:hint="eastAsia" w:asciiTheme="minorEastAsia" w:hAnsiTheme="minorEastAsia" w:eastAsiaTheme="minorEastAsia"/>
          <w:color w:val="auto"/>
          <w:sz w:val="24"/>
          <w:highlight w:val="none"/>
        </w:rPr>
        <w:t>淮北市公共资源交易电子服务系统（濉溪县闸河路建投大楼濉溪县公共资源交易中心开标 室）</w:t>
      </w:r>
    </w:p>
    <w:p w14:paraId="632717C8">
      <w:pPr>
        <w:spacing w:line="360" w:lineRule="auto"/>
        <w:ind w:firstLine="437"/>
        <w:outlineLvl w:val="1"/>
        <w:rPr>
          <w:rFonts w:hint="eastAsia" w:ascii="宋体" w:hAnsi="宋体" w:eastAsia="宋体"/>
          <w:b/>
          <w:bCs/>
          <w:color w:val="auto"/>
          <w:sz w:val="24"/>
          <w:szCs w:val="18"/>
          <w:highlight w:val="none"/>
        </w:rPr>
      </w:pPr>
      <w:bookmarkStart w:id="16" w:name="_Toc221656350"/>
      <w:bookmarkStart w:id="17" w:name="_Toc28531"/>
      <w:r>
        <w:rPr>
          <w:rFonts w:hint="eastAsia" w:ascii="宋体" w:hAnsi="宋体" w:eastAsia="宋体"/>
          <w:b/>
          <w:bCs/>
          <w:color w:val="auto"/>
          <w:sz w:val="24"/>
          <w:szCs w:val="18"/>
          <w:highlight w:val="none"/>
        </w:rPr>
        <w:t>五、</w:t>
      </w:r>
      <w:bookmarkEnd w:id="15"/>
      <w:r>
        <w:rPr>
          <w:rFonts w:hint="eastAsia" w:ascii="宋体" w:hAnsi="宋体" w:eastAsia="宋体"/>
          <w:b/>
          <w:bCs/>
          <w:color w:val="auto"/>
          <w:sz w:val="24"/>
          <w:szCs w:val="18"/>
          <w:highlight w:val="none"/>
        </w:rPr>
        <w:t>公告期限</w:t>
      </w:r>
      <w:bookmarkEnd w:id="16"/>
      <w:bookmarkEnd w:id="17"/>
    </w:p>
    <w:p w14:paraId="6DC85009">
      <w:pPr>
        <w:spacing w:line="360" w:lineRule="auto"/>
        <w:ind w:firstLine="437"/>
        <w:rPr>
          <w:rFonts w:hint="eastAsia" w:ascii="宋体" w:hAnsi="宋体" w:eastAsia="宋体"/>
          <w:color w:val="auto"/>
          <w:sz w:val="24"/>
          <w:szCs w:val="18"/>
          <w:highlight w:val="none"/>
        </w:rPr>
      </w:pPr>
      <w:bookmarkStart w:id="18" w:name="_Toc1215"/>
      <w:r>
        <w:rPr>
          <w:rFonts w:hint="eastAsia" w:ascii="宋体" w:hAnsi="宋体" w:eastAsia="宋体"/>
          <w:color w:val="auto"/>
          <w:sz w:val="24"/>
          <w:szCs w:val="18"/>
          <w:highlight w:val="none"/>
        </w:rPr>
        <w:t>自本公告发布之日起5个工作日。</w:t>
      </w:r>
    </w:p>
    <w:p w14:paraId="38B35731">
      <w:pPr>
        <w:spacing w:line="360" w:lineRule="auto"/>
        <w:ind w:firstLine="437"/>
        <w:outlineLvl w:val="1"/>
        <w:rPr>
          <w:rFonts w:hint="eastAsia" w:ascii="宋体" w:hAnsi="宋体" w:eastAsia="宋体"/>
          <w:b/>
          <w:bCs/>
          <w:color w:val="auto"/>
          <w:sz w:val="24"/>
          <w:szCs w:val="18"/>
          <w:highlight w:val="none"/>
        </w:rPr>
      </w:pPr>
      <w:bookmarkStart w:id="19" w:name="_Toc35393795"/>
      <w:bookmarkStart w:id="20" w:name="_Toc35393626"/>
      <w:bookmarkStart w:id="21" w:name="_Toc8807"/>
      <w:bookmarkStart w:id="22" w:name="_Toc221656351"/>
      <w:r>
        <w:rPr>
          <w:rFonts w:hint="eastAsia" w:ascii="宋体" w:hAnsi="宋体" w:eastAsia="宋体"/>
          <w:b/>
          <w:bCs/>
          <w:color w:val="auto"/>
          <w:sz w:val="24"/>
          <w:szCs w:val="18"/>
          <w:highlight w:val="none"/>
        </w:rPr>
        <w:t>六、其他补充事宜</w:t>
      </w:r>
      <w:bookmarkEnd w:id="19"/>
      <w:bookmarkEnd w:id="20"/>
      <w:bookmarkEnd w:id="21"/>
      <w:bookmarkEnd w:id="22"/>
    </w:p>
    <w:p w14:paraId="5324B842">
      <w:pPr>
        <w:adjustRightInd w:val="0"/>
        <w:snapToGrid w:val="0"/>
        <w:spacing w:line="360" w:lineRule="auto"/>
        <w:ind w:firstLine="480" w:firstLineChars="200"/>
        <w:jc w:val="left"/>
        <w:rPr>
          <w:rFonts w:hint="eastAsia" w:ascii="宋体" w:hAnsi="宋体" w:eastAsia="宋体"/>
          <w:color w:val="auto"/>
          <w:sz w:val="24"/>
          <w:szCs w:val="18"/>
          <w:highlight w:val="none"/>
        </w:rPr>
      </w:pPr>
      <w:r>
        <w:rPr>
          <w:rFonts w:hint="eastAsia" w:ascii="宋体" w:hAnsi="宋体" w:eastAsia="宋体"/>
          <w:color w:val="auto"/>
          <w:sz w:val="24"/>
          <w:szCs w:val="18"/>
          <w:highlight w:val="none"/>
        </w:rPr>
        <w:t>1.项目采用全流程电子化采购方式，相关操作说明如下：本项目实施全流程电子化交易投标文件解密、询标等通过系统在线方式完成。投标人远程解密要求：①投标人使用CA锁自行登录系统进行投标文件解密（不见面开标大厅登录方式：淮北市公共资源交易中心网站，选择不见面开标大厅登录,进行解密）；②解密时间：30分钟内（投标截止时间后，以交易系统解密指令发出起为准），否则投标文件将被拒绝。因淮北市公共资源交易中心网站系统故障无法在上述时间段进行解密操作的，待故障排除后，投标人根据系统提醒，在解密时间内继续进行解密。投标人应合理安排招标文件获取时间，特别是网络速度慢的地区防止在系统关闭前网络拥堵无法操作。如果因计算机及网络故障造成无法完成招标文件获取，责任自负。</w:t>
      </w:r>
    </w:p>
    <w:p w14:paraId="42BDA46D">
      <w:pPr>
        <w:adjustRightInd w:val="0"/>
        <w:snapToGrid w:val="0"/>
        <w:spacing w:line="360" w:lineRule="auto"/>
        <w:ind w:firstLine="480" w:firstLineChars="200"/>
        <w:jc w:val="left"/>
        <w:rPr>
          <w:rFonts w:hint="eastAsia" w:ascii="宋体" w:hAnsi="宋体" w:eastAsia="宋体"/>
          <w:color w:val="auto"/>
          <w:sz w:val="24"/>
          <w:szCs w:val="18"/>
          <w:highlight w:val="none"/>
        </w:rPr>
      </w:pPr>
      <w:r>
        <w:rPr>
          <w:rFonts w:hint="eastAsia" w:ascii="宋体" w:hAnsi="宋体" w:eastAsia="宋体"/>
          <w:color w:val="auto"/>
          <w:sz w:val="24"/>
          <w:szCs w:val="18"/>
          <w:highlight w:val="none"/>
        </w:rPr>
        <w:t>2.潜在投标人查阅招标文件后，如参与投标，则需按招标文件获取时间内通过相应电子交易系统完成投标信息的填写以及格式为.HBZF招标文件的下载。</w:t>
      </w:r>
    </w:p>
    <w:bookmarkEnd w:id="18"/>
    <w:p w14:paraId="0059CB62">
      <w:pPr>
        <w:spacing w:line="360" w:lineRule="auto"/>
        <w:ind w:firstLine="437"/>
        <w:outlineLvl w:val="1"/>
        <w:rPr>
          <w:rFonts w:hint="eastAsia" w:ascii="宋体" w:hAnsi="宋体" w:eastAsia="宋体"/>
          <w:b/>
          <w:bCs/>
          <w:color w:val="auto"/>
          <w:sz w:val="24"/>
          <w:szCs w:val="18"/>
          <w:highlight w:val="none"/>
        </w:rPr>
      </w:pPr>
      <w:bookmarkStart w:id="23" w:name="_Toc7265"/>
      <w:bookmarkStart w:id="24" w:name="_Toc221656352"/>
      <w:bookmarkStart w:id="25" w:name="_Toc3854"/>
      <w:r>
        <w:rPr>
          <w:rFonts w:hint="eastAsia" w:ascii="宋体" w:hAnsi="宋体" w:eastAsia="宋体"/>
          <w:b/>
          <w:bCs/>
          <w:color w:val="auto"/>
          <w:sz w:val="24"/>
          <w:szCs w:val="18"/>
          <w:highlight w:val="none"/>
        </w:rPr>
        <w:t>七、</w:t>
      </w:r>
      <w:bookmarkEnd w:id="23"/>
      <w:r>
        <w:rPr>
          <w:rFonts w:hint="eastAsia" w:ascii="宋体" w:hAnsi="宋体" w:eastAsia="宋体"/>
          <w:b/>
          <w:bCs/>
          <w:color w:val="auto"/>
          <w:sz w:val="24"/>
          <w:szCs w:val="18"/>
          <w:highlight w:val="none"/>
        </w:rPr>
        <w:t>对本次招标提出询问，请按以下方式联系</w:t>
      </w:r>
      <w:bookmarkEnd w:id="24"/>
      <w:bookmarkEnd w:id="25"/>
    </w:p>
    <w:p w14:paraId="0FDC23A7">
      <w:pPr>
        <w:spacing w:line="360" w:lineRule="auto"/>
        <w:ind w:firstLine="437"/>
        <w:outlineLvl w:val="2"/>
        <w:rPr>
          <w:rFonts w:hint="eastAsia" w:ascii="宋体" w:hAnsi="宋体" w:eastAsia="宋体"/>
          <w:color w:val="auto"/>
          <w:sz w:val="24"/>
          <w:szCs w:val="18"/>
          <w:highlight w:val="none"/>
        </w:rPr>
      </w:pPr>
      <w:r>
        <w:rPr>
          <w:rFonts w:hint="eastAsia" w:ascii="宋体" w:hAnsi="宋体" w:eastAsia="宋体"/>
          <w:color w:val="auto"/>
          <w:sz w:val="24"/>
          <w:szCs w:val="18"/>
          <w:highlight w:val="none"/>
        </w:rPr>
        <w:t>1.采购人信息</w:t>
      </w:r>
    </w:p>
    <w:p w14:paraId="0B50883A">
      <w:pPr>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名  称：濉溪县中医医院</w:t>
      </w:r>
    </w:p>
    <w:p w14:paraId="2B86D0A6">
      <w:pPr>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地  址：濉溪经济开发区金桂路1号</w:t>
      </w:r>
    </w:p>
    <w:p w14:paraId="6DFF4973">
      <w:pPr>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联系人：张传华</w:t>
      </w:r>
    </w:p>
    <w:p w14:paraId="75B1A853">
      <w:pPr>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联系方式：0561-6828308</w:t>
      </w:r>
    </w:p>
    <w:p w14:paraId="73C7B971">
      <w:pPr>
        <w:spacing w:line="360" w:lineRule="auto"/>
        <w:ind w:firstLine="437"/>
        <w:outlineLvl w:val="2"/>
        <w:rPr>
          <w:rFonts w:hint="eastAsia" w:ascii="宋体" w:hAnsi="宋体" w:eastAsia="宋体"/>
          <w:color w:val="auto"/>
          <w:sz w:val="24"/>
          <w:szCs w:val="18"/>
          <w:highlight w:val="none"/>
        </w:rPr>
      </w:pPr>
      <w:r>
        <w:rPr>
          <w:rFonts w:hint="eastAsia" w:ascii="宋体" w:hAnsi="宋体" w:eastAsia="宋体"/>
          <w:color w:val="auto"/>
          <w:sz w:val="24"/>
          <w:szCs w:val="18"/>
          <w:highlight w:val="none"/>
        </w:rPr>
        <w:t>2.采购代理机构信息</w:t>
      </w:r>
    </w:p>
    <w:p w14:paraId="50221A83">
      <w:pPr>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名  称：安徽省招标集团股份有限公司</w:t>
      </w:r>
    </w:p>
    <w:p w14:paraId="475FF42C">
      <w:pPr>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地  址：安徽省合肥市包河区紫云路888号</w:t>
      </w:r>
    </w:p>
    <w:p w14:paraId="47271AFE">
      <w:pPr>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联系方式：18217717520、19850703688</w:t>
      </w:r>
    </w:p>
    <w:p w14:paraId="42436867">
      <w:pPr>
        <w:spacing w:line="360" w:lineRule="auto"/>
        <w:ind w:firstLine="437"/>
        <w:outlineLvl w:val="2"/>
        <w:rPr>
          <w:rFonts w:hint="eastAsia" w:ascii="宋体" w:hAnsi="宋体" w:eastAsia="宋体"/>
          <w:color w:val="auto"/>
          <w:sz w:val="24"/>
          <w:szCs w:val="18"/>
          <w:highlight w:val="none"/>
        </w:rPr>
      </w:pPr>
      <w:r>
        <w:rPr>
          <w:rFonts w:hint="eastAsia" w:ascii="宋体" w:hAnsi="宋体" w:eastAsia="宋体"/>
          <w:color w:val="auto"/>
          <w:sz w:val="24"/>
          <w:szCs w:val="18"/>
          <w:highlight w:val="none"/>
        </w:rPr>
        <w:t>3.项目联系方式</w:t>
      </w:r>
    </w:p>
    <w:p w14:paraId="2F090100">
      <w:pPr>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项目联系人：龚恒、李翔宇</w:t>
      </w:r>
    </w:p>
    <w:p w14:paraId="07781EB7">
      <w:pPr>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  话：18217717520、19850703688</w:t>
      </w:r>
    </w:p>
    <w:p w14:paraId="263F116C">
      <w:pPr>
        <w:spacing w:line="360" w:lineRule="auto"/>
        <w:ind w:firstLine="437"/>
        <w:outlineLvl w:val="2"/>
        <w:rPr>
          <w:rFonts w:hint="eastAsia" w:ascii="宋体" w:hAnsi="宋体" w:eastAsia="宋体"/>
          <w:color w:val="auto"/>
          <w:sz w:val="24"/>
          <w:szCs w:val="18"/>
          <w:highlight w:val="none"/>
        </w:rPr>
      </w:pPr>
      <w:r>
        <w:rPr>
          <w:rFonts w:hint="eastAsia" w:ascii="宋体" w:hAnsi="宋体" w:eastAsia="宋体"/>
          <w:color w:val="auto"/>
          <w:sz w:val="24"/>
          <w:szCs w:val="18"/>
          <w:highlight w:val="none"/>
        </w:rPr>
        <w:t>4.政府采购监督管理部门信息</w:t>
      </w:r>
    </w:p>
    <w:p w14:paraId="5C8C25E3">
      <w:pPr>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名  称：濉溪县财政局</w:t>
      </w:r>
    </w:p>
    <w:p w14:paraId="07966483">
      <w:pPr>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地  址：</w:t>
      </w:r>
      <w:r>
        <w:rPr>
          <w:rFonts w:ascii="宋体" w:hAnsi="宋体" w:eastAsia="宋体" w:cs="宋体"/>
          <w:color w:val="auto"/>
          <w:sz w:val="24"/>
          <w:szCs w:val="24"/>
          <w:highlight w:val="none"/>
        </w:rPr>
        <w:t>濉溪县沱河路121号</w:t>
      </w:r>
    </w:p>
    <w:p w14:paraId="2F9AB069">
      <w:pPr>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联系人：</w:t>
      </w:r>
      <w:r>
        <w:rPr>
          <w:rFonts w:ascii="宋体" w:hAnsi="宋体" w:eastAsia="宋体" w:cs="宋体"/>
          <w:color w:val="auto"/>
          <w:sz w:val="24"/>
          <w:szCs w:val="24"/>
          <w:highlight w:val="none"/>
        </w:rPr>
        <w:t>李振华</w:t>
      </w:r>
    </w:p>
    <w:p w14:paraId="5C6E762C">
      <w:pPr>
        <w:spacing w:line="360" w:lineRule="auto"/>
        <w:ind w:firstLine="435"/>
        <w:rPr>
          <w:rFonts w:hint="eastAsia" w:ascii="宋体" w:hAnsi="宋体" w:eastAsia="宋体"/>
          <w:color w:val="auto"/>
          <w:sz w:val="24"/>
          <w:szCs w:val="18"/>
          <w:highlight w:val="none"/>
          <w:u w:val="single"/>
        </w:rPr>
      </w:pPr>
      <w:r>
        <w:rPr>
          <w:rFonts w:hint="eastAsia" w:ascii="宋体" w:hAnsi="宋体" w:eastAsia="宋体" w:cs="宋体"/>
          <w:color w:val="auto"/>
          <w:sz w:val="24"/>
          <w:szCs w:val="24"/>
          <w:highlight w:val="none"/>
        </w:rPr>
        <w:t>联系方式：</w:t>
      </w:r>
      <w:r>
        <w:rPr>
          <w:rFonts w:ascii="宋体" w:hAnsi="宋体" w:eastAsia="宋体" w:cs="宋体"/>
          <w:color w:val="auto"/>
          <w:sz w:val="24"/>
          <w:szCs w:val="24"/>
          <w:highlight w:val="none"/>
        </w:rPr>
        <w:t>0561-6087768</w:t>
      </w:r>
    </w:p>
    <w:p w14:paraId="14B86182">
      <w:pPr>
        <w:widowControl/>
        <w:jc w:val="left"/>
        <w:rPr>
          <w:rFonts w:hint="eastAsia" w:ascii="宋体" w:hAnsi="宋体" w:eastAsia="宋体"/>
          <w:color w:val="auto"/>
          <w:sz w:val="24"/>
          <w:szCs w:val="18"/>
          <w:highlight w:val="none"/>
        </w:rPr>
      </w:pPr>
      <w:r>
        <w:rPr>
          <w:rFonts w:ascii="宋体" w:hAnsi="宋体" w:eastAsia="宋体"/>
          <w:color w:val="auto"/>
          <w:sz w:val="24"/>
          <w:szCs w:val="18"/>
          <w:highlight w:val="none"/>
        </w:rPr>
        <w:br w:type="page"/>
      </w:r>
    </w:p>
    <w:p w14:paraId="008184CF">
      <w:pPr>
        <w:spacing w:line="360" w:lineRule="auto"/>
        <w:jc w:val="center"/>
        <w:outlineLvl w:val="0"/>
        <w:rPr>
          <w:rFonts w:hint="eastAsia" w:asciiTheme="minorEastAsia" w:hAnsiTheme="minorEastAsia" w:eastAsiaTheme="minorEastAsia"/>
          <w:b/>
          <w:color w:val="auto"/>
          <w:sz w:val="28"/>
          <w:highlight w:val="none"/>
        </w:rPr>
      </w:pPr>
      <w:bookmarkStart w:id="26" w:name="_Toc221656353"/>
      <w:r>
        <w:rPr>
          <w:rFonts w:hint="eastAsia" w:asciiTheme="minorEastAsia" w:hAnsiTheme="minorEastAsia" w:eastAsiaTheme="minorEastAsia"/>
          <w:b/>
          <w:color w:val="auto"/>
          <w:sz w:val="28"/>
          <w:highlight w:val="none"/>
        </w:rPr>
        <w:t>第二章</w:t>
      </w:r>
      <w:r>
        <w:rPr>
          <w:rFonts w:asciiTheme="minorEastAsia" w:hAnsiTheme="minorEastAsia" w:eastAsiaTheme="minorEastAsia"/>
          <w:b/>
          <w:color w:val="auto"/>
          <w:sz w:val="28"/>
          <w:highlight w:val="none"/>
        </w:rPr>
        <w:t xml:space="preserve"> </w:t>
      </w:r>
      <w:r>
        <w:rPr>
          <w:rFonts w:hint="eastAsia" w:asciiTheme="minorEastAsia" w:hAnsiTheme="minorEastAsia" w:eastAsiaTheme="minorEastAsia"/>
          <w:b/>
          <w:color w:val="auto"/>
          <w:sz w:val="28"/>
          <w:highlight w:val="none"/>
        </w:rPr>
        <w:t xml:space="preserve"> </w:t>
      </w:r>
      <w:r>
        <w:rPr>
          <w:rFonts w:asciiTheme="minorEastAsia" w:hAnsiTheme="minorEastAsia" w:eastAsiaTheme="minorEastAsia"/>
          <w:b/>
          <w:color w:val="auto"/>
          <w:sz w:val="28"/>
          <w:highlight w:val="none"/>
        </w:rPr>
        <w:t>投标人须知</w:t>
      </w:r>
      <w:bookmarkEnd w:id="26"/>
    </w:p>
    <w:p w14:paraId="03D09EBE">
      <w:pPr>
        <w:spacing w:line="360" w:lineRule="auto"/>
        <w:jc w:val="center"/>
        <w:outlineLvl w:val="1"/>
        <w:rPr>
          <w:rFonts w:hint="eastAsia" w:asciiTheme="minorEastAsia" w:hAnsiTheme="minorEastAsia" w:eastAsiaTheme="minorEastAsia"/>
          <w:b/>
          <w:color w:val="auto"/>
          <w:sz w:val="24"/>
          <w:highlight w:val="none"/>
        </w:rPr>
      </w:pPr>
      <w:bookmarkStart w:id="27" w:name="_Toc7178"/>
      <w:bookmarkStart w:id="28" w:name="_Toc3114"/>
      <w:bookmarkStart w:id="29" w:name="_Toc221656354"/>
      <w:r>
        <w:rPr>
          <w:rFonts w:hint="eastAsia" w:asciiTheme="minorEastAsia" w:hAnsiTheme="minorEastAsia" w:eastAsiaTheme="minorEastAsia"/>
          <w:b/>
          <w:color w:val="auto"/>
          <w:sz w:val="24"/>
          <w:highlight w:val="none"/>
        </w:rPr>
        <w:t>一、</w:t>
      </w:r>
      <w:r>
        <w:rPr>
          <w:rFonts w:asciiTheme="minorEastAsia" w:hAnsiTheme="minorEastAsia" w:eastAsiaTheme="minorEastAsia"/>
          <w:b/>
          <w:color w:val="auto"/>
          <w:sz w:val="24"/>
          <w:highlight w:val="none"/>
        </w:rPr>
        <w:t>投标人须知前附表</w:t>
      </w:r>
      <w:bookmarkEnd w:id="27"/>
      <w:bookmarkEnd w:id="28"/>
      <w:bookmarkEnd w:id="29"/>
    </w:p>
    <w:p w14:paraId="75669293">
      <w:pPr>
        <w:spacing w:line="360" w:lineRule="auto"/>
        <w:ind w:firstLine="435"/>
        <w:rPr>
          <w:rFonts w:hint="eastAsia" w:ascii="宋体" w:hAnsi="宋体" w:eastAsia="宋体"/>
          <w:color w:val="auto"/>
          <w:sz w:val="24"/>
          <w:szCs w:val="18"/>
          <w:highlight w:val="none"/>
        </w:rPr>
      </w:pPr>
      <w:r>
        <w:rPr>
          <w:rFonts w:hint="eastAsia" w:ascii="宋体" w:hAnsi="宋体" w:eastAsia="宋体"/>
          <w:b/>
          <w:bCs/>
          <w:color w:val="auto"/>
          <w:sz w:val="24"/>
          <w:szCs w:val="18"/>
          <w:highlight w:val="none"/>
        </w:rPr>
        <w:t>注：</w:t>
      </w:r>
      <w:r>
        <w:rPr>
          <w:rFonts w:hint="eastAsia" w:ascii="宋体" w:hAnsi="宋体" w:eastAsia="宋体"/>
          <w:color w:val="auto"/>
          <w:sz w:val="24"/>
          <w:szCs w:val="18"/>
          <w:highlight w:val="none"/>
        </w:rPr>
        <w:t>本表是本项目的具体要求，是对投标人须知的具体补充和修改，如有不一致，以本表为准。</w:t>
      </w:r>
    </w:p>
    <w:tbl>
      <w:tblPr>
        <w:tblStyle w:val="25"/>
        <w:tblW w:w="86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6"/>
        <w:gridCol w:w="2033"/>
        <w:gridCol w:w="5618"/>
      </w:tblGrid>
      <w:tr w14:paraId="3770D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6" w:type="dxa"/>
            <w:vAlign w:val="center"/>
          </w:tcPr>
          <w:p w14:paraId="7B11F589">
            <w:pPr>
              <w:pStyle w:val="34"/>
              <w:ind w:firstLine="0"/>
              <w:rPr>
                <w:rFonts w:hint="eastAsia"/>
                <w:bCs/>
                <w:color w:val="auto"/>
                <w:kern w:val="2"/>
                <w:highlight w:val="none"/>
              </w:rPr>
            </w:pPr>
            <w:r>
              <w:rPr>
                <w:rFonts w:hint="eastAsia"/>
                <w:color w:val="auto"/>
                <w:kern w:val="2"/>
                <w:highlight w:val="none"/>
              </w:rPr>
              <w:t>条款号</w:t>
            </w:r>
          </w:p>
        </w:tc>
        <w:tc>
          <w:tcPr>
            <w:tcW w:w="2033" w:type="dxa"/>
            <w:vAlign w:val="center"/>
          </w:tcPr>
          <w:p w14:paraId="7B058B84">
            <w:pPr>
              <w:pStyle w:val="34"/>
              <w:rPr>
                <w:rFonts w:hint="eastAsia"/>
                <w:bCs/>
                <w:color w:val="auto"/>
                <w:kern w:val="2"/>
                <w:highlight w:val="none"/>
              </w:rPr>
            </w:pPr>
            <w:r>
              <w:rPr>
                <w:rFonts w:hint="eastAsia"/>
                <w:color w:val="auto"/>
                <w:kern w:val="2"/>
                <w:highlight w:val="none"/>
              </w:rPr>
              <w:t>条款名称</w:t>
            </w:r>
          </w:p>
        </w:tc>
        <w:tc>
          <w:tcPr>
            <w:tcW w:w="5618" w:type="dxa"/>
            <w:vAlign w:val="center"/>
          </w:tcPr>
          <w:p w14:paraId="1EC645CF">
            <w:pPr>
              <w:pStyle w:val="34"/>
              <w:rPr>
                <w:rFonts w:hint="eastAsia"/>
                <w:bCs/>
                <w:color w:val="auto"/>
                <w:kern w:val="2"/>
                <w:highlight w:val="none"/>
              </w:rPr>
            </w:pPr>
            <w:r>
              <w:rPr>
                <w:rFonts w:hint="eastAsia"/>
                <w:color w:val="auto"/>
                <w:kern w:val="2"/>
                <w:highlight w:val="none"/>
              </w:rPr>
              <w:t>内容、说明与要求</w:t>
            </w:r>
          </w:p>
        </w:tc>
      </w:tr>
      <w:tr w14:paraId="69E20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6" w:type="dxa"/>
            <w:vAlign w:val="center"/>
          </w:tcPr>
          <w:p w14:paraId="7FF2611E">
            <w:pPr>
              <w:pStyle w:val="35"/>
              <w:pBdr>
                <w:bottom w:val="none" w:color="auto" w:sz="0" w:space="0"/>
              </w:pBdr>
              <w:tabs>
                <w:tab w:val="clear" w:pos="4153"/>
                <w:tab w:val="clear" w:pos="8306"/>
              </w:tabs>
              <w:adjustRightInd/>
              <w:spacing w:line="240" w:lineRule="auto"/>
              <w:textAlignment w:val="auto"/>
              <w:rPr>
                <w:rFonts w:hint="eastAsia" w:ascii="宋体" w:hAnsi="宋体" w:eastAsia="宋体"/>
                <w:bCs/>
                <w:color w:val="auto"/>
                <w:kern w:val="2"/>
                <w:highlight w:val="none"/>
              </w:rPr>
            </w:pPr>
            <w:r>
              <w:rPr>
                <w:rFonts w:hint="eastAsia" w:ascii="宋体" w:hAnsi="宋体" w:eastAsia="宋体"/>
                <w:bCs/>
                <w:color w:val="auto"/>
                <w:kern w:val="2"/>
                <w:highlight w:val="none"/>
              </w:rPr>
              <w:t>5</w:t>
            </w:r>
            <w:r>
              <w:rPr>
                <w:rFonts w:ascii="宋体" w:hAnsi="宋体" w:eastAsia="宋体"/>
                <w:bCs/>
                <w:color w:val="auto"/>
                <w:kern w:val="2"/>
                <w:highlight w:val="none"/>
              </w:rPr>
              <w:t>.</w:t>
            </w:r>
            <w:r>
              <w:rPr>
                <w:rFonts w:hint="eastAsia" w:ascii="宋体" w:hAnsi="宋体" w:eastAsia="宋体"/>
                <w:bCs/>
                <w:color w:val="auto"/>
                <w:kern w:val="2"/>
                <w:highlight w:val="none"/>
              </w:rPr>
              <w:t>2</w:t>
            </w:r>
          </w:p>
        </w:tc>
        <w:tc>
          <w:tcPr>
            <w:tcW w:w="2033" w:type="dxa"/>
            <w:vAlign w:val="center"/>
          </w:tcPr>
          <w:p w14:paraId="1084A5A0">
            <w:pPr>
              <w:pStyle w:val="34"/>
              <w:ind w:firstLine="0"/>
              <w:jc w:val="center"/>
              <w:rPr>
                <w:rFonts w:hint="eastAsia"/>
                <w:b/>
                <w:color w:val="auto"/>
                <w:highlight w:val="none"/>
              </w:rPr>
            </w:pPr>
            <w:r>
              <w:rPr>
                <w:rFonts w:hint="eastAsia"/>
                <w:color w:val="auto"/>
                <w:highlight w:val="none"/>
              </w:rPr>
              <w:t>现场考察或标前答疑会</w:t>
            </w:r>
          </w:p>
        </w:tc>
        <w:tc>
          <w:tcPr>
            <w:tcW w:w="5618" w:type="dxa"/>
            <w:vAlign w:val="center"/>
          </w:tcPr>
          <w:p w14:paraId="4BD2A9FD">
            <w:pPr>
              <w:spacing w:line="360" w:lineRule="auto"/>
              <w:rPr>
                <w:rFonts w:hint="eastAsia" w:ascii="宋体" w:hAnsi="宋体" w:eastAsia="宋体"/>
                <w:color w:val="auto"/>
                <w:kern w:val="0"/>
                <w:sz w:val="24"/>
                <w:szCs w:val="28"/>
                <w:highlight w:val="none"/>
              </w:rPr>
            </w:pPr>
            <w:r>
              <w:rPr>
                <w:rFonts w:hint="eastAsia" w:ascii="宋体" w:hAnsi="宋体" w:eastAsia="宋体"/>
                <w:color w:val="auto"/>
                <w:kern w:val="0"/>
                <w:sz w:val="24"/>
                <w:szCs w:val="28"/>
                <w:highlight w:val="none"/>
              </w:rPr>
              <w:t>√不组织或不召开</w:t>
            </w:r>
          </w:p>
          <w:p w14:paraId="6BD037F5">
            <w:pPr>
              <w:spacing w:line="360" w:lineRule="auto"/>
              <w:rPr>
                <w:rFonts w:hint="eastAsia" w:ascii="宋体" w:hAnsi="宋体" w:eastAsia="宋体"/>
                <w:color w:val="auto"/>
                <w:kern w:val="0"/>
                <w:sz w:val="24"/>
                <w:szCs w:val="28"/>
                <w:highlight w:val="none"/>
              </w:rPr>
            </w:pPr>
            <w:r>
              <w:rPr>
                <w:rFonts w:hint="eastAsia" w:ascii="宋体" w:hAnsi="宋体" w:eastAsia="宋体"/>
                <w:color w:val="auto"/>
                <w:kern w:val="0"/>
                <w:sz w:val="24"/>
                <w:szCs w:val="28"/>
                <w:highlight w:val="none"/>
              </w:rPr>
              <w:sym w:font="Wingdings" w:char="00A8"/>
            </w:r>
            <w:r>
              <w:rPr>
                <w:rFonts w:hint="eastAsia" w:ascii="宋体" w:hAnsi="宋体" w:eastAsia="宋体"/>
                <w:color w:val="auto"/>
                <w:kern w:val="0"/>
                <w:sz w:val="24"/>
                <w:szCs w:val="28"/>
                <w:highlight w:val="none"/>
              </w:rPr>
              <w:t>统一组织或统一召开</w:t>
            </w:r>
          </w:p>
          <w:p w14:paraId="2DFFA52C">
            <w:pPr>
              <w:spacing w:line="360" w:lineRule="auto"/>
              <w:rPr>
                <w:rFonts w:hint="eastAsia" w:ascii="宋体" w:hAnsi="宋体" w:eastAsia="宋体"/>
                <w:color w:val="auto"/>
                <w:kern w:val="0"/>
                <w:sz w:val="24"/>
                <w:szCs w:val="28"/>
                <w:highlight w:val="none"/>
              </w:rPr>
            </w:pPr>
            <w:r>
              <w:rPr>
                <w:rFonts w:hint="eastAsia" w:ascii="宋体" w:hAnsi="宋体" w:eastAsia="宋体"/>
                <w:color w:val="auto"/>
                <w:kern w:val="0"/>
                <w:sz w:val="24"/>
                <w:szCs w:val="28"/>
                <w:highlight w:val="none"/>
              </w:rPr>
              <w:t>时间：</w:t>
            </w:r>
            <w:r>
              <w:rPr>
                <w:rFonts w:hint="eastAsia" w:ascii="宋体" w:hAnsi="宋体" w:eastAsia="宋体"/>
                <w:color w:val="auto"/>
                <w:kern w:val="0"/>
                <w:sz w:val="24"/>
                <w:szCs w:val="28"/>
                <w:highlight w:val="none"/>
                <w:u w:val="single"/>
              </w:rPr>
              <w:t xml:space="preserve"> </w:t>
            </w:r>
            <w:r>
              <w:rPr>
                <w:rFonts w:ascii="宋体" w:hAnsi="宋体" w:eastAsia="宋体"/>
                <w:color w:val="auto"/>
                <w:kern w:val="0"/>
                <w:sz w:val="24"/>
                <w:szCs w:val="28"/>
                <w:highlight w:val="none"/>
                <w:u w:val="single"/>
              </w:rPr>
              <w:t xml:space="preserve">   </w:t>
            </w:r>
            <w:r>
              <w:rPr>
                <w:rFonts w:hint="eastAsia" w:ascii="宋体" w:hAnsi="宋体" w:eastAsia="宋体"/>
                <w:color w:val="auto"/>
                <w:kern w:val="0"/>
                <w:sz w:val="24"/>
                <w:szCs w:val="28"/>
                <w:highlight w:val="none"/>
              </w:rPr>
              <w:t>年</w:t>
            </w:r>
            <w:r>
              <w:rPr>
                <w:rFonts w:hint="eastAsia" w:ascii="宋体" w:hAnsi="宋体" w:eastAsia="宋体"/>
                <w:color w:val="auto"/>
                <w:kern w:val="0"/>
                <w:sz w:val="24"/>
                <w:szCs w:val="28"/>
                <w:highlight w:val="none"/>
                <w:u w:val="single"/>
              </w:rPr>
              <w:t xml:space="preserve"> </w:t>
            </w:r>
            <w:r>
              <w:rPr>
                <w:rFonts w:ascii="宋体" w:hAnsi="宋体" w:eastAsia="宋体"/>
                <w:color w:val="auto"/>
                <w:kern w:val="0"/>
                <w:sz w:val="24"/>
                <w:szCs w:val="28"/>
                <w:highlight w:val="none"/>
                <w:u w:val="single"/>
              </w:rPr>
              <w:t xml:space="preserve"> </w:t>
            </w:r>
            <w:r>
              <w:rPr>
                <w:rFonts w:hint="eastAsia" w:ascii="宋体" w:hAnsi="宋体" w:eastAsia="宋体"/>
                <w:color w:val="auto"/>
                <w:kern w:val="0"/>
                <w:sz w:val="24"/>
                <w:szCs w:val="28"/>
                <w:highlight w:val="none"/>
              </w:rPr>
              <w:t>月</w:t>
            </w:r>
            <w:r>
              <w:rPr>
                <w:rFonts w:hint="eastAsia" w:ascii="宋体" w:hAnsi="宋体" w:eastAsia="宋体"/>
                <w:color w:val="auto"/>
                <w:kern w:val="0"/>
                <w:sz w:val="24"/>
                <w:szCs w:val="28"/>
                <w:highlight w:val="none"/>
                <w:u w:val="single"/>
              </w:rPr>
              <w:t xml:space="preserve"> </w:t>
            </w:r>
            <w:r>
              <w:rPr>
                <w:rFonts w:ascii="宋体" w:hAnsi="宋体" w:eastAsia="宋体"/>
                <w:color w:val="auto"/>
                <w:kern w:val="0"/>
                <w:sz w:val="24"/>
                <w:szCs w:val="28"/>
                <w:highlight w:val="none"/>
                <w:u w:val="single"/>
              </w:rPr>
              <w:t xml:space="preserve"> </w:t>
            </w:r>
            <w:r>
              <w:rPr>
                <w:rFonts w:hint="eastAsia" w:ascii="宋体" w:hAnsi="宋体" w:eastAsia="宋体"/>
                <w:color w:val="auto"/>
                <w:kern w:val="0"/>
                <w:sz w:val="24"/>
                <w:szCs w:val="28"/>
                <w:highlight w:val="none"/>
              </w:rPr>
              <w:t>日</w:t>
            </w:r>
            <w:r>
              <w:rPr>
                <w:rFonts w:hint="eastAsia" w:ascii="宋体" w:hAnsi="宋体" w:eastAsia="宋体"/>
                <w:color w:val="auto"/>
                <w:kern w:val="0"/>
                <w:sz w:val="24"/>
                <w:szCs w:val="28"/>
                <w:highlight w:val="none"/>
                <w:u w:val="single"/>
              </w:rPr>
              <w:t xml:space="preserve"> </w:t>
            </w:r>
            <w:r>
              <w:rPr>
                <w:rFonts w:ascii="宋体" w:hAnsi="宋体" w:eastAsia="宋体"/>
                <w:color w:val="auto"/>
                <w:kern w:val="0"/>
                <w:sz w:val="24"/>
                <w:szCs w:val="28"/>
                <w:highlight w:val="none"/>
                <w:u w:val="single"/>
              </w:rPr>
              <w:t xml:space="preserve"> </w:t>
            </w:r>
            <w:r>
              <w:rPr>
                <w:rFonts w:hint="eastAsia" w:ascii="宋体" w:hAnsi="宋体" w:eastAsia="宋体"/>
                <w:color w:val="auto"/>
                <w:kern w:val="0"/>
                <w:sz w:val="24"/>
                <w:szCs w:val="28"/>
                <w:highlight w:val="none"/>
              </w:rPr>
              <w:t>时</w:t>
            </w:r>
            <w:r>
              <w:rPr>
                <w:rFonts w:hint="eastAsia" w:ascii="宋体" w:hAnsi="宋体" w:eastAsia="宋体"/>
                <w:color w:val="auto"/>
                <w:kern w:val="0"/>
                <w:sz w:val="24"/>
                <w:szCs w:val="28"/>
                <w:highlight w:val="none"/>
                <w:u w:val="single"/>
              </w:rPr>
              <w:t xml:space="preserve"> </w:t>
            </w:r>
            <w:r>
              <w:rPr>
                <w:rFonts w:ascii="宋体" w:hAnsi="宋体" w:eastAsia="宋体"/>
                <w:color w:val="auto"/>
                <w:kern w:val="0"/>
                <w:sz w:val="24"/>
                <w:szCs w:val="28"/>
                <w:highlight w:val="none"/>
                <w:u w:val="single"/>
              </w:rPr>
              <w:t xml:space="preserve"> </w:t>
            </w:r>
            <w:r>
              <w:rPr>
                <w:rFonts w:hint="eastAsia" w:ascii="宋体" w:hAnsi="宋体" w:eastAsia="宋体"/>
                <w:color w:val="auto"/>
                <w:kern w:val="0"/>
                <w:sz w:val="24"/>
                <w:szCs w:val="28"/>
                <w:highlight w:val="none"/>
              </w:rPr>
              <w:t>分</w:t>
            </w:r>
          </w:p>
          <w:p w14:paraId="43704381">
            <w:pPr>
              <w:spacing w:line="360" w:lineRule="auto"/>
              <w:rPr>
                <w:rFonts w:hint="eastAsia" w:ascii="宋体" w:hAnsi="宋体" w:eastAsia="宋体"/>
                <w:color w:val="auto"/>
                <w:kern w:val="0"/>
                <w:sz w:val="24"/>
                <w:szCs w:val="28"/>
                <w:highlight w:val="none"/>
              </w:rPr>
            </w:pPr>
            <w:r>
              <w:rPr>
                <w:rFonts w:hint="eastAsia" w:ascii="宋体" w:hAnsi="宋体" w:eastAsia="宋体"/>
                <w:color w:val="auto"/>
                <w:kern w:val="0"/>
                <w:sz w:val="24"/>
                <w:szCs w:val="28"/>
                <w:highlight w:val="none"/>
              </w:rPr>
              <w:t>地点：</w:t>
            </w:r>
            <w:r>
              <w:rPr>
                <w:rFonts w:hint="eastAsia" w:ascii="宋体" w:hAnsi="宋体" w:eastAsia="宋体"/>
                <w:color w:val="auto"/>
                <w:kern w:val="0"/>
                <w:sz w:val="24"/>
                <w:szCs w:val="28"/>
                <w:highlight w:val="none"/>
                <w:u w:val="single"/>
              </w:rPr>
              <w:t xml:space="preserve"> </w:t>
            </w:r>
            <w:r>
              <w:rPr>
                <w:rFonts w:ascii="宋体" w:hAnsi="宋体" w:eastAsia="宋体"/>
                <w:color w:val="auto"/>
                <w:kern w:val="0"/>
                <w:sz w:val="24"/>
                <w:szCs w:val="28"/>
                <w:highlight w:val="none"/>
                <w:u w:val="single"/>
              </w:rPr>
              <w:t xml:space="preserve">                      </w:t>
            </w:r>
          </w:p>
          <w:p w14:paraId="44DA8062">
            <w:pPr>
              <w:spacing w:line="360" w:lineRule="auto"/>
              <w:rPr>
                <w:rFonts w:hint="eastAsia" w:ascii="宋体" w:hAnsi="宋体" w:eastAsia="宋体"/>
                <w:color w:val="auto"/>
                <w:kern w:val="0"/>
                <w:sz w:val="24"/>
                <w:szCs w:val="28"/>
                <w:highlight w:val="none"/>
              </w:rPr>
            </w:pPr>
            <w:r>
              <w:rPr>
                <w:rFonts w:hint="eastAsia" w:ascii="宋体" w:hAnsi="宋体" w:eastAsia="宋体"/>
                <w:color w:val="auto"/>
                <w:kern w:val="0"/>
                <w:sz w:val="24"/>
                <w:szCs w:val="28"/>
                <w:highlight w:val="none"/>
              </w:rPr>
              <w:t>联系人及联系电话：</w:t>
            </w:r>
            <w:r>
              <w:rPr>
                <w:rFonts w:hint="eastAsia" w:ascii="宋体" w:hAnsi="宋体" w:eastAsia="宋体"/>
                <w:color w:val="auto"/>
                <w:kern w:val="0"/>
                <w:sz w:val="24"/>
                <w:szCs w:val="28"/>
                <w:highlight w:val="none"/>
                <w:u w:val="single"/>
              </w:rPr>
              <w:t xml:space="preserve"> </w:t>
            </w:r>
            <w:r>
              <w:rPr>
                <w:rFonts w:ascii="宋体" w:hAnsi="宋体" w:eastAsia="宋体"/>
                <w:color w:val="auto"/>
                <w:kern w:val="0"/>
                <w:sz w:val="24"/>
                <w:szCs w:val="28"/>
                <w:highlight w:val="none"/>
                <w:u w:val="single"/>
              </w:rPr>
              <w:t xml:space="preserve">          </w:t>
            </w:r>
          </w:p>
          <w:p w14:paraId="0D7C053F">
            <w:pPr>
              <w:spacing w:line="360" w:lineRule="auto"/>
              <w:rPr>
                <w:rFonts w:hint="eastAsia"/>
                <w:b/>
                <w:color w:val="auto"/>
                <w:highlight w:val="none"/>
              </w:rPr>
            </w:pPr>
            <w:r>
              <w:rPr>
                <w:rFonts w:hint="eastAsia" w:ascii="宋体" w:hAnsi="宋体" w:eastAsia="宋体"/>
                <w:color w:val="auto"/>
                <w:kern w:val="0"/>
                <w:sz w:val="24"/>
                <w:szCs w:val="28"/>
                <w:highlight w:val="none"/>
              </w:rPr>
              <w:t>注：如投标人未参加采购人统一组织的现场考察或采购人统一召开的标前答疑会，视同放弃现场考察或标前答疑会，由此引起的一切责任由投标人自行承担。</w:t>
            </w:r>
          </w:p>
        </w:tc>
      </w:tr>
      <w:tr w14:paraId="4BC6B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6" w:type="dxa"/>
            <w:vAlign w:val="center"/>
          </w:tcPr>
          <w:p w14:paraId="201839B9">
            <w:pPr>
              <w:pStyle w:val="35"/>
              <w:pBdr>
                <w:bottom w:val="none" w:color="auto" w:sz="0" w:space="0"/>
              </w:pBdr>
              <w:tabs>
                <w:tab w:val="clear" w:pos="4153"/>
                <w:tab w:val="clear" w:pos="8306"/>
              </w:tabs>
              <w:adjustRightInd/>
              <w:spacing w:line="240" w:lineRule="auto"/>
              <w:textAlignment w:val="auto"/>
              <w:rPr>
                <w:rFonts w:hint="eastAsia" w:ascii="宋体" w:hAnsi="宋体" w:eastAsia="宋体"/>
                <w:bCs/>
                <w:color w:val="auto"/>
                <w:kern w:val="2"/>
                <w:highlight w:val="none"/>
              </w:rPr>
            </w:pPr>
            <w:r>
              <w:rPr>
                <w:rFonts w:hint="eastAsia" w:ascii="宋体" w:hAnsi="宋体" w:eastAsia="宋体"/>
                <w:bCs/>
                <w:color w:val="auto"/>
                <w:kern w:val="2"/>
                <w:highlight w:val="none"/>
              </w:rPr>
              <w:t>6</w:t>
            </w:r>
            <w:r>
              <w:rPr>
                <w:rFonts w:ascii="宋体" w:hAnsi="宋体" w:eastAsia="宋体"/>
                <w:bCs/>
                <w:color w:val="auto"/>
                <w:kern w:val="2"/>
                <w:highlight w:val="none"/>
              </w:rPr>
              <w:t>.1</w:t>
            </w:r>
          </w:p>
        </w:tc>
        <w:tc>
          <w:tcPr>
            <w:tcW w:w="2033" w:type="dxa"/>
            <w:vAlign w:val="center"/>
          </w:tcPr>
          <w:p w14:paraId="5C6B2773">
            <w:pPr>
              <w:pStyle w:val="34"/>
              <w:ind w:firstLine="0"/>
              <w:jc w:val="center"/>
              <w:rPr>
                <w:rFonts w:hint="eastAsia"/>
                <w:b/>
                <w:color w:val="auto"/>
                <w:highlight w:val="none"/>
              </w:rPr>
            </w:pPr>
            <w:r>
              <w:rPr>
                <w:rFonts w:hint="eastAsia"/>
                <w:color w:val="auto"/>
                <w:highlight w:val="none"/>
              </w:rPr>
              <w:t>网上询问截止时间</w:t>
            </w:r>
          </w:p>
        </w:tc>
        <w:tc>
          <w:tcPr>
            <w:tcW w:w="5618" w:type="dxa"/>
            <w:vAlign w:val="center"/>
          </w:tcPr>
          <w:p w14:paraId="15D55E4A">
            <w:pPr>
              <w:spacing w:line="360" w:lineRule="auto"/>
              <w:rPr>
                <w:rFonts w:hint="eastAsia" w:ascii="宋体" w:hAnsi="宋体" w:eastAsia="宋体"/>
                <w:color w:val="auto"/>
                <w:kern w:val="0"/>
                <w:sz w:val="24"/>
                <w:szCs w:val="28"/>
                <w:highlight w:val="none"/>
              </w:rPr>
            </w:pPr>
            <w:r>
              <w:rPr>
                <w:rFonts w:hint="eastAsia" w:ascii="宋体" w:hAnsi="宋体" w:eastAsia="宋体"/>
                <w:color w:val="auto"/>
                <w:kern w:val="0"/>
                <w:sz w:val="24"/>
                <w:szCs w:val="28"/>
                <w:highlight w:val="none"/>
              </w:rPr>
              <w:t>2026年6月  日17时30分</w:t>
            </w:r>
          </w:p>
          <w:p w14:paraId="358F0BDC">
            <w:pPr>
              <w:spacing w:line="360" w:lineRule="auto"/>
              <w:rPr>
                <w:rFonts w:hint="eastAsia"/>
                <w:b/>
                <w:color w:val="auto"/>
                <w:highlight w:val="none"/>
              </w:rPr>
            </w:pPr>
            <w:r>
              <w:rPr>
                <w:rFonts w:hint="eastAsia" w:ascii="宋体" w:hAnsi="宋体" w:eastAsia="宋体"/>
                <w:color w:val="auto"/>
                <w:kern w:val="0"/>
                <w:sz w:val="24"/>
                <w:szCs w:val="28"/>
                <w:highlight w:val="none"/>
              </w:rPr>
              <w:t>投标供应商请注意：采购人对招标文件进行的答疑、澄清、变更或补充，将在网站上及时发布，该公告内容为招标文件的组成部分，对投标供应商具有同样约束力。投标供应商应主动上网查询。采购人和代理机构不承担投标供应商未及时关注相关信息引发的相关责任。上述答疑、澄清、变更或补充在网站上发布。</w:t>
            </w:r>
          </w:p>
        </w:tc>
      </w:tr>
      <w:tr w14:paraId="2C9EB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6" w:type="dxa"/>
            <w:vAlign w:val="center"/>
          </w:tcPr>
          <w:p w14:paraId="2218FEFC">
            <w:pPr>
              <w:pStyle w:val="35"/>
              <w:pBdr>
                <w:bottom w:val="none" w:color="auto" w:sz="0" w:space="0"/>
              </w:pBdr>
              <w:tabs>
                <w:tab w:val="clear" w:pos="4153"/>
                <w:tab w:val="clear" w:pos="8306"/>
              </w:tabs>
              <w:adjustRightInd/>
              <w:spacing w:line="240" w:lineRule="auto"/>
              <w:textAlignment w:val="auto"/>
              <w:rPr>
                <w:rFonts w:hint="eastAsia" w:ascii="宋体" w:hAnsi="宋体" w:eastAsia="宋体"/>
                <w:bCs/>
                <w:color w:val="auto"/>
                <w:kern w:val="2"/>
                <w:highlight w:val="none"/>
              </w:rPr>
            </w:pPr>
            <w:r>
              <w:rPr>
                <w:rFonts w:hint="eastAsia" w:ascii="宋体" w:hAnsi="宋体" w:eastAsia="宋体"/>
                <w:bCs/>
                <w:color w:val="auto"/>
                <w:kern w:val="2"/>
                <w:highlight w:val="none"/>
              </w:rPr>
              <w:t>7</w:t>
            </w:r>
            <w:r>
              <w:rPr>
                <w:rFonts w:ascii="宋体" w:hAnsi="宋体" w:eastAsia="宋体"/>
                <w:bCs/>
                <w:color w:val="auto"/>
                <w:kern w:val="2"/>
                <w:highlight w:val="none"/>
              </w:rPr>
              <w:t>.1</w:t>
            </w:r>
          </w:p>
        </w:tc>
        <w:tc>
          <w:tcPr>
            <w:tcW w:w="2033" w:type="dxa"/>
            <w:vAlign w:val="center"/>
          </w:tcPr>
          <w:p w14:paraId="33FAC7D0">
            <w:pPr>
              <w:pStyle w:val="34"/>
              <w:ind w:firstLine="0"/>
              <w:jc w:val="center"/>
              <w:rPr>
                <w:rFonts w:hint="eastAsia"/>
                <w:b/>
                <w:color w:val="auto"/>
                <w:highlight w:val="none"/>
              </w:rPr>
            </w:pPr>
            <w:r>
              <w:rPr>
                <w:rFonts w:hint="eastAsia"/>
                <w:color w:val="auto"/>
                <w:highlight w:val="none"/>
              </w:rPr>
              <w:t>包别划分</w:t>
            </w:r>
          </w:p>
        </w:tc>
        <w:tc>
          <w:tcPr>
            <w:tcW w:w="5618" w:type="dxa"/>
            <w:vAlign w:val="center"/>
          </w:tcPr>
          <w:p w14:paraId="36D04E3B">
            <w:pPr>
              <w:spacing w:line="360" w:lineRule="auto"/>
              <w:rPr>
                <w:rFonts w:hint="eastAsia" w:ascii="宋体" w:hAnsi="宋体" w:eastAsia="宋体"/>
                <w:color w:val="auto"/>
                <w:kern w:val="0"/>
                <w:sz w:val="24"/>
                <w:szCs w:val="28"/>
                <w:highlight w:val="none"/>
              </w:rPr>
            </w:pPr>
            <w:r>
              <w:rPr>
                <w:rFonts w:hint="eastAsia" w:ascii="宋体" w:hAnsi="宋体" w:eastAsia="宋体"/>
                <w:color w:val="auto"/>
                <w:kern w:val="0"/>
                <w:sz w:val="24"/>
                <w:szCs w:val="28"/>
                <w:highlight w:val="none"/>
              </w:rPr>
              <w:sym w:font="Wingdings" w:char="00A8"/>
            </w:r>
            <w:r>
              <w:rPr>
                <w:rFonts w:ascii="宋体" w:hAnsi="宋体" w:eastAsia="宋体"/>
                <w:color w:val="auto"/>
                <w:kern w:val="0"/>
                <w:sz w:val="24"/>
                <w:szCs w:val="28"/>
                <w:highlight w:val="none"/>
              </w:rPr>
              <w:t xml:space="preserve">不分包     </w:t>
            </w:r>
            <w:r>
              <w:rPr>
                <w:rFonts w:hint="eastAsia" w:ascii="宋体" w:hAnsi="宋体" w:eastAsia="宋体"/>
                <w:color w:val="auto"/>
                <w:kern w:val="0"/>
                <w:sz w:val="24"/>
                <w:szCs w:val="28"/>
                <w:highlight w:val="none"/>
              </w:rPr>
              <w:t>√</w:t>
            </w:r>
            <w:r>
              <w:rPr>
                <w:rFonts w:ascii="宋体" w:hAnsi="宋体" w:eastAsia="宋体"/>
                <w:color w:val="auto"/>
                <w:kern w:val="0"/>
                <w:sz w:val="24"/>
                <w:szCs w:val="28"/>
                <w:highlight w:val="none"/>
              </w:rPr>
              <w:t>分为</w:t>
            </w:r>
            <w:r>
              <w:rPr>
                <w:rFonts w:hint="eastAsia" w:ascii="宋体" w:hAnsi="宋体" w:eastAsia="宋体"/>
                <w:color w:val="auto"/>
                <w:kern w:val="0"/>
                <w:sz w:val="24"/>
                <w:szCs w:val="28"/>
                <w:highlight w:val="none"/>
                <w:lang w:val="en-US" w:eastAsia="zh-CN"/>
              </w:rPr>
              <w:t>9</w:t>
            </w:r>
            <w:r>
              <w:rPr>
                <w:rFonts w:ascii="宋体" w:hAnsi="宋体" w:eastAsia="宋体"/>
                <w:color w:val="auto"/>
                <w:kern w:val="0"/>
                <w:sz w:val="24"/>
                <w:szCs w:val="28"/>
                <w:highlight w:val="none"/>
              </w:rPr>
              <w:t>个包</w:t>
            </w:r>
          </w:p>
          <w:p w14:paraId="7055F4D6">
            <w:pPr>
              <w:spacing w:line="360" w:lineRule="auto"/>
              <w:rPr>
                <w:rFonts w:hint="eastAsia"/>
                <w:b/>
                <w:color w:val="auto"/>
                <w:highlight w:val="none"/>
                <w:u w:val="single"/>
              </w:rPr>
            </w:pPr>
            <w:r>
              <w:rPr>
                <w:rFonts w:hint="eastAsia" w:ascii="宋体" w:hAnsi="宋体" w:eastAsia="宋体"/>
                <w:color w:val="auto"/>
                <w:kern w:val="0"/>
                <w:sz w:val="24"/>
                <w:szCs w:val="28"/>
                <w:highlight w:val="none"/>
              </w:rPr>
              <w:t>投标人对多个包进行投标的中标</w:t>
            </w:r>
            <w:r>
              <w:rPr>
                <w:rFonts w:ascii="宋体" w:hAnsi="宋体" w:eastAsia="宋体"/>
                <w:color w:val="auto"/>
                <w:kern w:val="0"/>
                <w:sz w:val="24"/>
                <w:szCs w:val="28"/>
                <w:highlight w:val="none"/>
              </w:rPr>
              <w:t>包</w:t>
            </w:r>
            <w:r>
              <w:rPr>
                <w:rFonts w:hint="eastAsia" w:ascii="宋体" w:hAnsi="宋体" w:eastAsia="宋体"/>
                <w:color w:val="auto"/>
                <w:kern w:val="0"/>
                <w:sz w:val="24"/>
                <w:szCs w:val="28"/>
                <w:highlight w:val="none"/>
              </w:rPr>
              <w:t>数规定：</w:t>
            </w:r>
            <w:r>
              <w:rPr>
                <w:rFonts w:hint="eastAsia" w:ascii="宋体" w:hAnsi="宋体" w:eastAsia="宋体"/>
                <w:color w:val="auto"/>
                <w:kern w:val="0"/>
                <w:sz w:val="24"/>
                <w:szCs w:val="28"/>
                <w:highlight w:val="none"/>
              </w:rPr>
              <w:t>供应商可对本项目一个或多个包进行投标，也可成为多个包的中标人。</w:t>
            </w:r>
          </w:p>
        </w:tc>
      </w:tr>
      <w:tr w14:paraId="2FA7C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jc w:val="center"/>
        </w:trPr>
        <w:tc>
          <w:tcPr>
            <w:tcW w:w="1006" w:type="dxa"/>
            <w:vAlign w:val="center"/>
          </w:tcPr>
          <w:p w14:paraId="604F2FBB">
            <w:pPr>
              <w:pStyle w:val="35"/>
              <w:pBdr>
                <w:bottom w:val="none" w:color="auto" w:sz="0" w:space="0"/>
              </w:pBdr>
              <w:tabs>
                <w:tab w:val="clear" w:pos="4153"/>
                <w:tab w:val="clear" w:pos="8306"/>
              </w:tabs>
              <w:adjustRightInd/>
              <w:spacing w:line="240" w:lineRule="auto"/>
              <w:textAlignment w:val="auto"/>
              <w:rPr>
                <w:rFonts w:hint="eastAsia" w:ascii="宋体" w:hAnsi="宋体" w:eastAsia="宋体"/>
                <w:bCs/>
                <w:color w:val="auto"/>
                <w:kern w:val="2"/>
                <w:highlight w:val="none"/>
              </w:rPr>
            </w:pPr>
            <w:r>
              <w:rPr>
                <w:rFonts w:hint="eastAsia" w:ascii="宋体" w:hAnsi="宋体" w:eastAsia="宋体"/>
                <w:bCs/>
                <w:color w:val="auto"/>
                <w:kern w:val="2"/>
                <w:highlight w:val="none"/>
              </w:rPr>
              <w:t>10</w:t>
            </w:r>
            <w:r>
              <w:rPr>
                <w:rFonts w:ascii="宋体" w:hAnsi="宋体" w:eastAsia="宋体"/>
                <w:bCs/>
                <w:color w:val="auto"/>
                <w:kern w:val="2"/>
                <w:highlight w:val="none"/>
              </w:rPr>
              <w:t>.1</w:t>
            </w:r>
          </w:p>
        </w:tc>
        <w:tc>
          <w:tcPr>
            <w:tcW w:w="2033" w:type="dxa"/>
            <w:vAlign w:val="center"/>
          </w:tcPr>
          <w:p w14:paraId="58E6FE16">
            <w:pPr>
              <w:pStyle w:val="34"/>
              <w:ind w:firstLine="0"/>
              <w:jc w:val="center"/>
              <w:rPr>
                <w:rFonts w:hint="eastAsia"/>
                <w:b/>
                <w:color w:val="auto"/>
                <w:highlight w:val="none"/>
              </w:rPr>
            </w:pPr>
            <w:r>
              <w:rPr>
                <w:rFonts w:hint="eastAsia"/>
                <w:color w:val="auto"/>
                <w:highlight w:val="none"/>
              </w:rPr>
              <w:t>投标保证金</w:t>
            </w:r>
          </w:p>
        </w:tc>
        <w:tc>
          <w:tcPr>
            <w:tcW w:w="5618" w:type="dxa"/>
            <w:vAlign w:val="center"/>
          </w:tcPr>
          <w:p w14:paraId="30AE7413">
            <w:pPr>
              <w:spacing w:line="360" w:lineRule="auto"/>
              <w:rPr>
                <w:rFonts w:hint="eastAsia" w:ascii="宋体" w:hAnsi="宋体" w:eastAsia="宋体"/>
                <w:color w:val="auto"/>
                <w:kern w:val="0"/>
                <w:sz w:val="24"/>
                <w:szCs w:val="28"/>
                <w:highlight w:val="none"/>
              </w:rPr>
            </w:pPr>
            <w:r>
              <w:rPr>
                <w:rFonts w:hint="eastAsia" w:ascii="宋体" w:hAnsi="宋体" w:eastAsia="宋体"/>
                <w:color w:val="auto"/>
                <w:kern w:val="0"/>
                <w:sz w:val="24"/>
                <w:szCs w:val="28"/>
                <w:highlight w:val="none"/>
              </w:rPr>
              <w:t>不收取</w:t>
            </w:r>
          </w:p>
        </w:tc>
      </w:tr>
      <w:tr w14:paraId="01BCF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6" w:type="dxa"/>
            <w:vAlign w:val="center"/>
          </w:tcPr>
          <w:p w14:paraId="538FF816">
            <w:pPr>
              <w:pStyle w:val="35"/>
              <w:pBdr>
                <w:bottom w:val="none" w:color="auto" w:sz="0" w:space="0"/>
              </w:pBdr>
              <w:tabs>
                <w:tab w:val="clear" w:pos="4153"/>
                <w:tab w:val="clear" w:pos="8306"/>
              </w:tabs>
              <w:adjustRightInd/>
              <w:spacing w:line="240" w:lineRule="auto"/>
              <w:textAlignment w:val="auto"/>
              <w:rPr>
                <w:rFonts w:hint="eastAsia" w:ascii="宋体" w:hAnsi="宋体" w:eastAsia="宋体"/>
                <w:bCs/>
                <w:color w:val="auto"/>
                <w:kern w:val="2"/>
                <w:highlight w:val="none"/>
              </w:rPr>
            </w:pPr>
            <w:r>
              <w:rPr>
                <w:rFonts w:hint="eastAsia" w:ascii="宋体" w:hAnsi="宋体" w:eastAsia="宋体"/>
                <w:bCs/>
                <w:color w:val="auto"/>
                <w:kern w:val="2"/>
                <w:highlight w:val="none"/>
              </w:rPr>
              <w:t>11</w:t>
            </w:r>
            <w:r>
              <w:rPr>
                <w:rFonts w:ascii="宋体" w:hAnsi="宋体" w:eastAsia="宋体"/>
                <w:bCs/>
                <w:color w:val="auto"/>
                <w:kern w:val="2"/>
                <w:highlight w:val="none"/>
              </w:rPr>
              <w:t>.1</w:t>
            </w:r>
          </w:p>
        </w:tc>
        <w:tc>
          <w:tcPr>
            <w:tcW w:w="2033" w:type="dxa"/>
            <w:vAlign w:val="center"/>
          </w:tcPr>
          <w:p w14:paraId="552D3510">
            <w:pPr>
              <w:pStyle w:val="34"/>
              <w:ind w:firstLine="0"/>
              <w:jc w:val="center"/>
              <w:rPr>
                <w:rFonts w:hint="eastAsia"/>
                <w:b/>
                <w:color w:val="auto"/>
                <w:highlight w:val="none"/>
              </w:rPr>
            </w:pPr>
            <w:r>
              <w:rPr>
                <w:rFonts w:hint="eastAsia"/>
                <w:color w:val="auto"/>
                <w:highlight w:val="none"/>
              </w:rPr>
              <w:t>投标有效期</w:t>
            </w:r>
          </w:p>
        </w:tc>
        <w:tc>
          <w:tcPr>
            <w:tcW w:w="5618" w:type="dxa"/>
            <w:vAlign w:val="center"/>
          </w:tcPr>
          <w:p w14:paraId="4259952F">
            <w:pPr>
              <w:spacing w:line="360" w:lineRule="auto"/>
              <w:rPr>
                <w:rFonts w:hint="eastAsia" w:ascii="宋体" w:hAnsi="宋体" w:eastAsia="宋体"/>
                <w:color w:val="auto"/>
                <w:kern w:val="0"/>
                <w:sz w:val="24"/>
                <w:szCs w:val="28"/>
                <w:highlight w:val="none"/>
              </w:rPr>
            </w:pPr>
            <w:r>
              <w:rPr>
                <w:rFonts w:hint="eastAsia" w:ascii="宋体" w:hAnsi="宋体" w:eastAsia="宋体"/>
                <w:color w:val="auto"/>
                <w:kern w:val="0"/>
                <w:sz w:val="24"/>
                <w:szCs w:val="28"/>
                <w:highlight w:val="none"/>
              </w:rPr>
              <w:t>120日历日</w:t>
            </w:r>
          </w:p>
        </w:tc>
      </w:tr>
      <w:tr w14:paraId="4481E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6" w:type="dxa"/>
            <w:vAlign w:val="center"/>
          </w:tcPr>
          <w:p w14:paraId="490C3109">
            <w:pPr>
              <w:pStyle w:val="35"/>
              <w:pBdr>
                <w:bottom w:val="none" w:color="auto" w:sz="0" w:space="0"/>
              </w:pBdr>
              <w:tabs>
                <w:tab w:val="clear" w:pos="4153"/>
                <w:tab w:val="clear" w:pos="8306"/>
              </w:tabs>
              <w:adjustRightInd/>
              <w:spacing w:line="240" w:lineRule="auto"/>
              <w:textAlignment w:val="auto"/>
              <w:rPr>
                <w:rFonts w:hint="eastAsia" w:ascii="宋体" w:hAnsi="宋体" w:eastAsia="宋体"/>
                <w:bCs/>
                <w:color w:val="auto"/>
                <w:kern w:val="2"/>
                <w:highlight w:val="none"/>
              </w:rPr>
            </w:pPr>
            <w:r>
              <w:rPr>
                <w:rFonts w:hint="eastAsia" w:ascii="宋体" w:hAnsi="宋体" w:eastAsia="宋体"/>
                <w:bCs/>
                <w:color w:val="auto"/>
                <w:kern w:val="2"/>
                <w:highlight w:val="none"/>
              </w:rPr>
              <w:t>13</w:t>
            </w:r>
            <w:r>
              <w:rPr>
                <w:rFonts w:ascii="宋体" w:hAnsi="宋体" w:eastAsia="宋体"/>
                <w:bCs/>
                <w:color w:val="auto"/>
                <w:kern w:val="2"/>
                <w:highlight w:val="none"/>
              </w:rPr>
              <w:t>.</w:t>
            </w:r>
            <w:r>
              <w:rPr>
                <w:rFonts w:hint="eastAsia" w:ascii="宋体" w:hAnsi="宋体" w:eastAsia="宋体"/>
                <w:bCs/>
                <w:color w:val="auto"/>
                <w:kern w:val="2"/>
                <w:highlight w:val="none"/>
              </w:rPr>
              <w:t>1</w:t>
            </w:r>
          </w:p>
        </w:tc>
        <w:tc>
          <w:tcPr>
            <w:tcW w:w="2033" w:type="dxa"/>
            <w:vAlign w:val="center"/>
          </w:tcPr>
          <w:p w14:paraId="73C20E6B">
            <w:pPr>
              <w:pStyle w:val="34"/>
              <w:ind w:firstLine="0"/>
              <w:jc w:val="center"/>
              <w:rPr>
                <w:rFonts w:hint="eastAsia"/>
                <w:b/>
                <w:color w:val="auto"/>
                <w:highlight w:val="none"/>
              </w:rPr>
            </w:pPr>
            <w:r>
              <w:rPr>
                <w:rFonts w:hint="eastAsia"/>
                <w:color w:val="auto"/>
                <w:highlight w:val="none"/>
              </w:rPr>
              <w:t>投标文件解密时间</w:t>
            </w:r>
          </w:p>
        </w:tc>
        <w:tc>
          <w:tcPr>
            <w:tcW w:w="5618" w:type="dxa"/>
            <w:vAlign w:val="center"/>
          </w:tcPr>
          <w:p w14:paraId="76B02224">
            <w:pPr>
              <w:spacing w:line="360" w:lineRule="auto"/>
              <w:rPr>
                <w:rFonts w:hint="eastAsia" w:ascii="宋体" w:hAnsi="宋体" w:eastAsia="宋体"/>
                <w:color w:val="auto"/>
                <w:kern w:val="0"/>
                <w:sz w:val="24"/>
                <w:szCs w:val="28"/>
                <w:highlight w:val="none"/>
              </w:rPr>
            </w:pPr>
            <w:r>
              <w:rPr>
                <w:rFonts w:hint="eastAsia" w:ascii="宋体" w:hAnsi="宋体" w:eastAsia="宋体"/>
                <w:color w:val="auto"/>
                <w:kern w:val="0"/>
                <w:sz w:val="24"/>
                <w:szCs w:val="28"/>
                <w:highlight w:val="none"/>
              </w:rPr>
              <w:t>1.加密的电子投标文件，应在投标截止时间前通过淮北市公共资源交易中心电子交易平台上传；</w:t>
            </w:r>
          </w:p>
          <w:p w14:paraId="5E1AC845">
            <w:pPr>
              <w:pStyle w:val="34"/>
              <w:spacing w:line="360" w:lineRule="auto"/>
              <w:ind w:firstLine="0"/>
              <w:rPr>
                <w:rFonts w:hint="eastAsia"/>
                <w:color w:val="auto"/>
                <w:highlight w:val="none"/>
              </w:rPr>
            </w:pPr>
            <w:r>
              <w:rPr>
                <w:rFonts w:hint="eastAsia"/>
                <w:color w:val="auto"/>
                <w:highlight w:val="none"/>
              </w:rPr>
              <w:t>2.投标截止后，交易系统公布投标人名单。投标人应在交易系统公布投标人名单30分钟内通过互联网解密投标文件，超过30分钟未解密的投标文件，将被退回，不进入评标程序。（以交易系统时间为准）。因投标人原因造成投标文件未解密的，视为撤销其投标文件；因投标人之外的原因造成投标文件未解密的，视为撤回其投标文件。</w:t>
            </w:r>
          </w:p>
        </w:tc>
      </w:tr>
      <w:tr w14:paraId="52628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6" w:type="dxa"/>
            <w:vAlign w:val="center"/>
          </w:tcPr>
          <w:p w14:paraId="47C96728">
            <w:pPr>
              <w:pStyle w:val="35"/>
              <w:pBdr>
                <w:bottom w:val="none" w:color="auto" w:sz="0" w:space="0"/>
              </w:pBdr>
              <w:tabs>
                <w:tab w:val="clear" w:pos="4153"/>
                <w:tab w:val="clear" w:pos="8306"/>
              </w:tabs>
              <w:adjustRightInd/>
              <w:spacing w:line="240" w:lineRule="auto"/>
              <w:textAlignment w:val="auto"/>
              <w:rPr>
                <w:rFonts w:hint="eastAsia" w:ascii="宋体" w:hAnsi="宋体" w:eastAsia="宋体"/>
                <w:bCs/>
                <w:color w:val="auto"/>
                <w:kern w:val="2"/>
                <w:highlight w:val="none"/>
              </w:rPr>
            </w:pPr>
            <w:r>
              <w:rPr>
                <w:rFonts w:hint="eastAsia" w:ascii="宋体" w:hAnsi="宋体" w:eastAsia="宋体"/>
                <w:bCs/>
                <w:color w:val="auto"/>
                <w:kern w:val="2"/>
                <w:highlight w:val="none"/>
              </w:rPr>
              <w:t>14.1</w:t>
            </w:r>
          </w:p>
        </w:tc>
        <w:tc>
          <w:tcPr>
            <w:tcW w:w="2033" w:type="dxa"/>
            <w:vAlign w:val="center"/>
          </w:tcPr>
          <w:p w14:paraId="14873A3B">
            <w:pPr>
              <w:pStyle w:val="34"/>
              <w:ind w:firstLine="0"/>
              <w:jc w:val="center"/>
              <w:rPr>
                <w:rFonts w:hint="eastAsia"/>
                <w:b/>
                <w:color w:val="auto"/>
                <w:highlight w:val="none"/>
              </w:rPr>
            </w:pPr>
            <w:r>
              <w:rPr>
                <w:rFonts w:hint="eastAsia"/>
                <w:color w:val="auto"/>
                <w:highlight w:val="none"/>
              </w:rPr>
              <w:t>资格审查</w:t>
            </w:r>
          </w:p>
        </w:tc>
        <w:tc>
          <w:tcPr>
            <w:tcW w:w="5618" w:type="dxa"/>
            <w:vAlign w:val="center"/>
          </w:tcPr>
          <w:p w14:paraId="22D1B4F7">
            <w:pPr>
              <w:spacing w:line="360" w:lineRule="auto"/>
              <w:rPr>
                <w:rFonts w:hint="eastAsia" w:ascii="宋体" w:hAnsi="宋体" w:eastAsia="宋体"/>
                <w:color w:val="auto"/>
                <w:kern w:val="0"/>
                <w:sz w:val="24"/>
                <w:szCs w:val="28"/>
                <w:highlight w:val="none"/>
              </w:rPr>
            </w:pPr>
            <w:r>
              <w:rPr>
                <w:rFonts w:hint="eastAsia" w:ascii="宋体" w:hAnsi="宋体" w:eastAsia="宋体"/>
                <w:color w:val="auto"/>
                <w:kern w:val="0"/>
                <w:sz w:val="24"/>
                <w:szCs w:val="28"/>
                <w:highlight w:val="none"/>
              </w:rPr>
              <w:t>√采购人审查</w:t>
            </w:r>
          </w:p>
          <w:p w14:paraId="62181ECD">
            <w:pPr>
              <w:spacing w:line="360" w:lineRule="auto"/>
              <w:rPr>
                <w:rFonts w:hint="eastAsia" w:ascii="宋体" w:hAnsi="宋体" w:eastAsia="宋体"/>
                <w:color w:val="auto"/>
                <w:kern w:val="0"/>
                <w:sz w:val="24"/>
                <w:szCs w:val="28"/>
                <w:highlight w:val="none"/>
              </w:rPr>
            </w:pPr>
            <w:r>
              <w:rPr>
                <w:rFonts w:hint="eastAsia" w:ascii="宋体" w:hAnsi="宋体" w:eastAsia="宋体"/>
                <w:color w:val="auto"/>
                <w:kern w:val="0"/>
                <w:sz w:val="24"/>
                <w:szCs w:val="28"/>
                <w:highlight w:val="none"/>
              </w:rPr>
              <w:sym w:font="Wingdings" w:char="00A8"/>
            </w:r>
            <w:r>
              <w:rPr>
                <w:rFonts w:hint="eastAsia" w:ascii="宋体" w:hAnsi="宋体" w:eastAsia="宋体"/>
                <w:color w:val="auto"/>
                <w:kern w:val="0"/>
                <w:sz w:val="24"/>
                <w:szCs w:val="28"/>
                <w:highlight w:val="none"/>
              </w:rPr>
              <w:t>采购人出具委托函委托采购代理机构进行审查</w:t>
            </w:r>
          </w:p>
        </w:tc>
      </w:tr>
      <w:tr w14:paraId="67DA9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6" w:type="dxa"/>
            <w:vAlign w:val="center"/>
          </w:tcPr>
          <w:p w14:paraId="2996E53E">
            <w:pPr>
              <w:pStyle w:val="35"/>
              <w:pBdr>
                <w:bottom w:val="none" w:color="auto" w:sz="0" w:space="0"/>
              </w:pBdr>
              <w:tabs>
                <w:tab w:val="clear" w:pos="4153"/>
                <w:tab w:val="clear" w:pos="8306"/>
              </w:tabs>
              <w:adjustRightInd/>
              <w:spacing w:line="240" w:lineRule="auto"/>
              <w:textAlignment w:val="auto"/>
              <w:rPr>
                <w:rFonts w:hint="eastAsia" w:ascii="宋体" w:hAnsi="宋体" w:eastAsia="宋体"/>
                <w:bCs/>
                <w:color w:val="auto"/>
                <w:kern w:val="2"/>
                <w:highlight w:val="none"/>
              </w:rPr>
            </w:pPr>
            <w:r>
              <w:rPr>
                <w:rFonts w:hint="eastAsia" w:ascii="宋体" w:hAnsi="宋体" w:eastAsia="宋体"/>
                <w:bCs/>
                <w:color w:val="auto"/>
                <w:kern w:val="2"/>
                <w:highlight w:val="none"/>
              </w:rPr>
              <w:t>17</w:t>
            </w:r>
            <w:r>
              <w:rPr>
                <w:rFonts w:ascii="宋体" w:hAnsi="宋体" w:eastAsia="宋体"/>
                <w:bCs/>
                <w:color w:val="auto"/>
                <w:kern w:val="2"/>
                <w:highlight w:val="none"/>
              </w:rPr>
              <w:t>.2</w:t>
            </w:r>
          </w:p>
        </w:tc>
        <w:tc>
          <w:tcPr>
            <w:tcW w:w="2033" w:type="dxa"/>
            <w:vAlign w:val="center"/>
          </w:tcPr>
          <w:p w14:paraId="1CE5355F">
            <w:pPr>
              <w:pStyle w:val="34"/>
              <w:ind w:firstLine="0"/>
              <w:jc w:val="center"/>
              <w:rPr>
                <w:rFonts w:hint="eastAsia"/>
                <w:b/>
                <w:color w:val="auto"/>
                <w:highlight w:val="none"/>
              </w:rPr>
            </w:pPr>
            <w:r>
              <w:rPr>
                <w:rFonts w:hint="eastAsia"/>
                <w:color w:val="auto"/>
                <w:highlight w:val="none"/>
              </w:rPr>
              <w:t>评标方法</w:t>
            </w:r>
          </w:p>
        </w:tc>
        <w:tc>
          <w:tcPr>
            <w:tcW w:w="5618" w:type="dxa"/>
            <w:vAlign w:val="center"/>
          </w:tcPr>
          <w:p w14:paraId="203D39AE">
            <w:pPr>
              <w:spacing w:line="360" w:lineRule="auto"/>
              <w:rPr>
                <w:rFonts w:hint="eastAsia"/>
                <w:b/>
                <w:color w:val="auto"/>
                <w:highlight w:val="none"/>
              </w:rPr>
            </w:pPr>
            <w:r>
              <w:rPr>
                <w:rFonts w:hint="eastAsia" w:ascii="宋体" w:hAnsi="宋体" w:eastAsia="宋体"/>
                <w:color w:val="auto"/>
                <w:kern w:val="0"/>
                <w:sz w:val="24"/>
                <w:szCs w:val="28"/>
                <w:highlight w:val="none"/>
              </w:rPr>
              <w:sym w:font="Wingdings" w:char="00A8"/>
            </w:r>
            <w:r>
              <w:rPr>
                <w:rFonts w:hint="eastAsia" w:ascii="宋体" w:hAnsi="宋体" w:eastAsia="宋体"/>
                <w:color w:val="auto"/>
                <w:kern w:val="0"/>
                <w:sz w:val="24"/>
                <w:szCs w:val="28"/>
                <w:highlight w:val="none"/>
              </w:rPr>
              <w:t>最低评标价法      √综合评分法</w:t>
            </w:r>
          </w:p>
        </w:tc>
      </w:tr>
      <w:tr w14:paraId="69656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6" w:type="dxa"/>
            <w:vAlign w:val="center"/>
          </w:tcPr>
          <w:p w14:paraId="48B5C7D6">
            <w:pPr>
              <w:pStyle w:val="35"/>
              <w:pBdr>
                <w:bottom w:val="none" w:color="auto" w:sz="0" w:space="0"/>
              </w:pBdr>
              <w:tabs>
                <w:tab w:val="clear" w:pos="4153"/>
                <w:tab w:val="clear" w:pos="8306"/>
              </w:tabs>
              <w:adjustRightInd/>
              <w:spacing w:line="240" w:lineRule="auto"/>
              <w:textAlignment w:val="auto"/>
              <w:rPr>
                <w:rFonts w:hint="eastAsia" w:ascii="宋体" w:hAnsi="宋体" w:eastAsia="宋体"/>
                <w:bCs/>
                <w:color w:val="auto"/>
                <w:kern w:val="2"/>
                <w:highlight w:val="none"/>
              </w:rPr>
            </w:pPr>
            <w:r>
              <w:rPr>
                <w:rFonts w:hint="eastAsia" w:ascii="宋体" w:hAnsi="宋体" w:eastAsia="宋体"/>
                <w:bCs/>
                <w:color w:val="auto"/>
                <w:kern w:val="2"/>
                <w:highlight w:val="none"/>
              </w:rPr>
              <w:t>17</w:t>
            </w:r>
            <w:r>
              <w:rPr>
                <w:rFonts w:ascii="宋体" w:hAnsi="宋体" w:eastAsia="宋体"/>
                <w:bCs/>
                <w:color w:val="auto"/>
                <w:kern w:val="2"/>
                <w:highlight w:val="none"/>
              </w:rPr>
              <w:t>.3</w:t>
            </w:r>
          </w:p>
        </w:tc>
        <w:tc>
          <w:tcPr>
            <w:tcW w:w="2033" w:type="dxa"/>
            <w:vAlign w:val="center"/>
          </w:tcPr>
          <w:p w14:paraId="00C03011">
            <w:pPr>
              <w:pStyle w:val="34"/>
              <w:ind w:firstLine="0"/>
              <w:jc w:val="center"/>
              <w:rPr>
                <w:rFonts w:hint="eastAsia"/>
                <w:b/>
                <w:color w:val="auto"/>
                <w:highlight w:val="none"/>
              </w:rPr>
            </w:pPr>
            <w:r>
              <w:rPr>
                <w:rFonts w:hint="eastAsia"/>
                <w:color w:val="auto"/>
                <w:highlight w:val="none"/>
              </w:rPr>
              <w:t>报价扣除</w:t>
            </w:r>
          </w:p>
        </w:tc>
        <w:tc>
          <w:tcPr>
            <w:tcW w:w="5618" w:type="dxa"/>
            <w:vAlign w:val="center"/>
          </w:tcPr>
          <w:p w14:paraId="6800AF0D">
            <w:pPr>
              <w:spacing w:line="360" w:lineRule="auto"/>
              <w:rPr>
                <w:rFonts w:hint="eastAsia" w:ascii="宋体" w:hAnsi="宋体" w:eastAsia="宋体"/>
                <w:color w:val="auto"/>
                <w:kern w:val="0"/>
                <w:sz w:val="24"/>
                <w:szCs w:val="28"/>
                <w:highlight w:val="none"/>
              </w:rPr>
            </w:pPr>
            <w:r>
              <w:rPr>
                <w:rFonts w:hint="eastAsia" w:ascii="宋体" w:hAnsi="宋体" w:eastAsia="宋体"/>
                <w:color w:val="auto"/>
                <w:kern w:val="0"/>
                <w:sz w:val="24"/>
                <w:szCs w:val="28"/>
                <w:highlight w:val="none"/>
              </w:rPr>
              <w:t>（1）</w:t>
            </w:r>
            <w:r>
              <w:rPr>
                <w:rFonts w:ascii="宋体" w:hAnsi="宋体" w:eastAsia="宋体"/>
                <w:color w:val="auto"/>
                <w:kern w:val="0"/>
                <w:sz w:val="24"/>
                <w:szCs w:val="28"/>
                <w:highlight w:val="none"/>
              </w:rPr>
              <w:t>小型和微型</w:t>
            </w:r>
            <w:r>
              <w:rPr>
                <w:rFonts w:hint="eastAsia" w:ascii="宋体" w:hAnsi="宋体" w:eastAsia="宋体"/>
                <w:color w:val="auto"/>
                <w:kern w:val="0"/>
                <w:sz w:val="24"/>
                <w:szCs w:val="28"/>
                <w:highlight w:val="none"/>
              </w:rPr>
              <w:t>企业价格扣除：10%。</w:t>
            </w:r>
          </w:p>
          <w:p w14:paraId="7D486C5F">
            <w:pPr>
              <w:spacing w:line="360" w:lineRule="auto"/>
              <w:rPr>
                <w:rFonts w:hint="eastAsia" w:ascii="宋体" w:hAnsi="宋体" w:eastAsia="宋体"/>
                <w:color w:val="auto"/>
                <w:kern w:val="0"/>
                <w:sz w:val="24"/>
                <w:szCs w:val="28"/>
                <w:highlight w:val="none"/>
              </w:rPr>
            </w:pPr>
            <w:r>
              <w:rPr>
                <w:rFonts w:hint="eastAsia" w:ascii="宋体" w:hAnsi="宋体" w:eastAsia="宋体"/>
                <w:color w:val="auto"/>
                <w:kern w:val="0"/>
                <w:sz w:val="24"/>
                <w:szCs w:val="28"/>
                <w:highlight w:val="none"/>
              </w:rPr>
              <w:t>（2）监狱企业价格扣除：同</w:t>
            </w:r>
            <w:r>
              <w:rPr>
                <w:rFonts w:ascii="宋体" w:hAnsi="宋体" w:eastAsia="宋体"/>
                <w:color w:val="auto"/>
                <w:kern w:val="0"/>
                <w:sz w:val="24"/>
                <w:szCs w:val="28"/>
                <w:highlight w:val="none"/>
              </w:rPr>
              <w:t>小型和微型企业</w:t>
            </w:r>
            <w:r>
              <w:rPr>
                <w:rFonts w:hint="eastAsia" w:ascii="宋体" w:hAnsi="宋体" w:eastAsia="宋体"/>
                <w:color w:val="auto"/>
                <w:kern w:val="0"/>
                <w:sz w:val="24"/>
                <w:szCs w:val="28"/>
                <w:highlight w:val="none"/>
              </w:rPr>
              <w:t>。</w:t>
            </w:r>
          </w:p>
          <w:p w14:paraId="5E727E55">
            <w:pPr>
              <w:spacing w:line="360" w:lineRule="auto"/>
              <w:rPr>
                <w:rStyle w:val="31"/>
                <w:rFonts w:hint="eastAsia"/>
                <w:b/>
                <w:color w:val="auto"/>
                <w:sz w:val="24"/>
                <w:szCs w:val="28"/>
                <w:highlight w:val="none"/>
              </w:rPr>
            </w:pPr>
            <w:r>
              <w:rPr>
                <w:rFonts w:hint="eastAsia" w:ascii="宋体" w:hAnsi="宋体" w:eastAsia="宋体"/>
                <w:color w:val="auto"/>
                <w:kern w:val="0"/>
                <w:sz w:val="24"/>
                <w:szCs w:val="28"/>
                <w:highlight w:val="none"/>
              </w:rPr>
              <w:t>（3）残疾人福利性单位价格扣除：同</w:t>
            </w:r>
            <w:r>
              <w:rPr>
                <w:rFonts w:ascii="宋体" w:hAnsi="宋体" w:eastAsia="宋体"/>
                <w:color w:val="auto"/>
                <w:kern w:val="0"/>
                <w:sz w:val="24"/>
                <w:szCs w:val="28"/>
                <w:highlight w:val="none"/>
              </w:rPr>
              <w:t>小型和微型企业</w:t>
            </w:r>
            <w:r>
              <w:rPr>
                <w:rFonts w:hint="eastAsia" w:ascii="宋体" w:hAnsi="宋体" w:eastAsia="宋体"/>
                <w:color w:val="auto"/>
                <w:kern w:val="0"/>
                <w:sz w:val="24"/>
                <w:szCs w:val="28"/>
                <w:highlight w:val="none"/>
              </w:rPr>
              <w:t>。</w:t>
            </w:r>
          </w:p>
        </w:tc>
      </w:tr>
      <w:tr w14:paraId="004FB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6" w:type="dxa"/>
            <w:vAlign w:val="center"/>
          </w:tcPr>
          <w:p w14:paraId="73043519">
            <w:pPr>
              <w:pStyle w:val="35"/>
              <w:pBdr>
                <w:bottom w:val="none" w:color="auto" w:sz="0" w:space="0"/>
              </w:pBdr>
              <w:tabs>
                <w:tab w:val="clear" w:pos="4153"/>
                <w:tab w:val="clear" w:pos="8306"/>
              </w:tabs>
              <w:adjustRightInd/>
              <w:spacing w:line="240" w:lineRule="auto"/>
              <w:textAlignment w:val="auto"/>
              <w:rPr>
                <w:rFonts w:hint="eastAsia" w:ascii="宋体" w:hAnsi="宋体" w:eastAsia="宋体"/>
                <w:bCs/>
                <w:color w:val="auto"/>
                <w:kern w:val="2"/>
                <w:highlight w:val="none"/>
              </w:rPr>
            </w:pPr>
            <w:r>
              <w:rPr>
                <w:rFonts w:hint="eastAsia" w:ascii="宋体" w:hAnsi="宋体" w:eastAsia="宋体"/>
                <w:bCs/>
                <w:color w:val="auto"/>
                <w:kern w:val="2"/>
                <w:highlight w:val="none"/>
              </w:rPr>
              <w:t>17.4</w:t>
            </w:r>
          </w:p>
        </w:tc>
        <w:tc>
          <w:tcPr>
            <w:tcW w:w="2033" w:type="dxa"/>
            <w:vAlign w:val="center"/>
          </w:tcPr>
          <w:p w14:paraId="0375E22B">
            <w:pPr>
              <w:spacing w:line="360" w:lineRule="auto"/>
              <w:jc w:val="center"/>
              <w:rPr>
                <w:rFonts w:hint="eastAsia" w:ascii="宋体" w:hAnsi="宋体" w:eastAsia="宋体"/>
                <w:i/>
                <w:color w:val="auto"/>
                <w:sz w:val="24"/>
                <w:highlight w:val="none"/>
              </w:rPr>
            </w:pPr>
            <w:r>
              <w:rPr>
                <w:rFonts w:hint="eastAsia" w:ascii="宋体" w:hAnsi="宋体" w:eastAsia="宋体"/>
                <w:color w:val="auto"/>
                <w:sz w:val="24"/>
                <w:highlight w:val="none"/>
              </w:rPr>
              <w:t>本国产品价格扣除（适用于既有本国产品又有非本国产品参与竞争的货物项目）</w:t>
            </w:r>
          </w:p>
        </w:tc>
        <w:tc>
          <w:tcPr>
            <w:tcW w:w="5618" w:type="dxa"/>
            <w:vAlign w:val="center"/>
          </w:tcPr>
          <w:p w14:paraId="5C723641">
            <w:pPr>
              <w:spacing w:line="360" w:lineRule="auto"/>
              <w:rPr>
                <w:rFonts w:hint="eastAsia" w:ascii="宋体" w:hAnsi="宋体" w:eastAsia="宋体"/>
                <w:color w:val="auto"/>
                <w:kern w:val="0"/>
                <w:sz w:val="24"/>
                <w:szCs w:val="28"/>
                <w:highlight w:val="none"/>
              </w:rPr>
            </w:pPr>
            <w:r>
              <w:rPr>
                <w:rFonts w:hint="eastAsia" w:ascii="宋体" w:hAnsi="宋体" w:eastAsia="宋体"/>
                <w:color w:val="auto"/>
                <w:kern w:val="0"/>
                <w:sz w:val="24"/>
                <w:szCs w:val="28"/>
                <w:highlight w:val="none"/>
              </w:rPr>
              <w:t>（1）项目或者采购包中采购内容为单一产品的，既有本国产品又有非本国产品参与竞争的，对本国产品给予价格扣除20%。</w:t>
            </w:r>
          </w:p>
          <w:p w14:paraId="24984304">
            <w:pPr>
              <w:spacing w:line="360" w:lineRule="auto"/>
              <w:rPr>
                <w:rFonts w:hint="eastAsia"/>
                <w:color w:val="auto"/>
                <w:highlight w:val="none"/>
              </w:rPr>
            </w:pPr>
            <w:r>
              <w:rPr>
                <w:rFonts w:hint="eastAsia" w:ascii="宋体" w:hAnsi="宋体" w:eastAsia="宋体"/>
                <w:color w:val="auto"/>
                <w:kern w:val="0"/>
                <w:sz w:val="24"/>
                <w:szCs w:val="28"/>
                <w:highlight w:val="none"/>
              </w:rPr>
              <w:t>（2）项目或者采购包中含有多种产品的，符合本国产品标准的产品成本之和占该投标人提供的全部产品成本之和的比例≥80%，所有产品价格扣除20%。</w:t>
            </w:r>
          </w:p>
        </w:tc>
      </w:tr>
      <w:tr w14:paraId="00D31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6" w:type="dxa"/>
            <w:vAlign w:val="center"/>
          </w:tcPr>
          <w:p w14:paraId="0E22072A">
            <w:pPr>
              <w:pStyle w:val="35"/>
              <w:pBdr>
                <w:bottom w:val="none" w:color="auto" w:sz="0" w:space="0"/>
              </w:pBdr>
              <w:tabs>
                <w:tab w:val="clear" w:pos="4153"/>
                <w:tab w:val="clear" w:pos="8306"/>
              </w:tabs>
              <w:adjustRightInd/>
              <w:spacing w:line="240" w:lineRule="auto"/>
              <w:textAlignment w:val="auto"/>
              <w:rPr>
                <w:rFonts w:hint="eastAsia" w:ascii="宋体" w:hAnsi="宋体" w:eastAsia="宋体"/>
                <w:bCs/>
                <w:color w:val="auto"/>
                <w:kern w:val="2"/>
                <w:highlight w:val="none"/>
              </w:rPr>
            </w:pPr>
            <w:r>
              <w:rPr>
                <w:rFonts w:hint="eastAsia" w:ascii="宋体" w:hAnsi="宋体" w:eastAsia="宋体"/>
                <w:bCs/>
                <w:color w:val="auto"/>
                <w:kern w:val="2"/>
                <w:highlight w:val="none"/>
              </w:rPr>
              <w:t>21</w:t>
            </w:r>
            <w:r>
              <w:rPr>
                <w:rFonts w:ascii="宋体" w:hAnsi="宋体" w:eastAsia="宋体"/>
                <w:bCs/>
                <w:color w:val="auto"/>
                <w:kern w:val="2"/>
                <w:highlight w:val="none"/>
              </w:rPr>
              <w:t>.</w:t>
            </w:r>
            <w:r>
              <w:rPr>
                <w:rFonts w:hint="eastAsia" w:ascii="宋体" w:hAnsi="宋体" w:eastAsia="宋体"/>
                <w:bCs/>
                <w:color w:val="auto"/>
                <w:kern w:val="2"/>
                <w:highlight w:val="none"/>
              </w:rPr>
              <w:t>1</w:t>
            </w:r>
          </w:p>
        </w:tc>
        <w:tc>
          <w:tcPr>
            <w:tcW w:w="2033" w:type="dxa"/>
            <w:vAlign w:val="center"/>
          </w:tcPr>
          <w:p w14:paraId="4A799B91">
            <w:pPr>
              <w:pStyle w:val="34"/>
              <w:ind w:firstLine="0"/>
              <w:jc w:val="center"/>
              <w:rPr>
                <w:rFonts w:hint="eastAsia"/>
                <w:b/>
                <w:color w:val="auto"/>
                <w:highlight w:val="none"/>
              </w:rPr>
            </w:pPr>
            <w:r>
              <w:rPr>
                <w:rFonts w:hint="eastAsia"/>
                <w:color w:val="auto"/>
                <w:highlight w:val="none"/>
              </w:rPr>
              <w:t>评标委员会推荐</w:t>
            </w:r>
            <w:r>
              <w:rPr>
                <w:color w:val="auto"/>
                <w:highlight w:val="none"/>
              </w:rPr>
              <w:t>中标候选</w:t>
            </w:r>
            <w:r>
              <w:rPr>
                <w:rFonts w:hint="eastAsia"/>
                <w:color w:val="auto"/>
                <w:highlight w:val="none"/>
              </w:rPr>
              <w:t>人的</w:t>
            </w:r>
            <w:r>
              <w:rPr>
                <w:color w:val="auto"/>
                <w:highlight w:val="none"/>
              </w:rPr>
              <w:t>数量</w:t>
            </w:r>
          </w:p>
        </w:tc>
        <w:tc>
          <w:tcPr>
            <w:tcW w:w="5618" w:type="dxa"/>
            <w:vAlign w:val="center"/>
          </w:tcPr>
          <w:p w14:paraId="3651F28F">
            <w:pPr>
              <w:pStyle w:val="34"/>
              <w:ind w:firstLine="0"/>
              <w:rPr>
                <w:rFonts w:hint="eastAsia"/>
                <w:b/>
                <w:color w:val="auto"/>
                <w:highlight w:val="none"/>
              </w:rPr>
            </w:pPr>
            <w:r>
              <w:rPr>
                <w:rFonts w:hint="eastAsia"/>
                <w:color w:val="auto"/>
                <w:highlight w:val="none"/>
              </w:rPr>
              <w:t>3家</w:t>
            </w:r>
          </w:p>
        </w:tc>
      </w:tr>
      <w:tr w14:paraId="24F60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6" w:type="dxa"/>
            <w:vAlign w:val="center"/>
          </w:tcPr>
          <w:p w14:paraId="3E4CE508">
            <w:pPr>
              <w:pStyle w:val="35"/>
              <w:pBdr>
                <w:bottom w:val="none" w:color="auto" w:sz="0" w:space="0"/>
              </w:pBdr>
              <w:tabs>
                <w:tab w:val="clear" w:pos="4153"/>
                <w:tab w:val="clear" w:pos="8306"/>
              </w:tabs>
              <w:adjustRightInd/>
              <w:spacing w:line="240" w:lineRule="auto"/>
              <w:textAlignment w:val="auto"/>
              <w:rPr>
                <w:rFonts w:hint="eastAsia" w:ascii="宋体" w:hAnsi="宋体" w:eastAsia="宋体"/>
                <w:bCs/>
                <w:color w:val="auto"/>
                <w:kern w:val="2"/>
                <w:highlight w:val="none"/>
              </w:rPr>
            </w:pPr>
            <w:r>
              <w:rPr>
                <w:rFonts w:hint="eastAsia" w:ascii="宋体" w:hAnsi="宋体" w:eastAsia="宋体"/>
                <w:bCs/>
                <w:color w:val="auto"/>
                <w:kern w:val="2"/>
                <w:highlight w:val="none"/>
              </w:rPr>
              <w:t>21</w:t>
            </w:r>
            <w:r>
              <w:rPr>
                <w:rFonts w:ascii="宋体" w:hAnsi="宋体" w:eastAsia="宋体"/>
                <w:bCs/>
                <w:color w:val="auto"/>
                <w:kern w:val="2"/>
                <w:highlight w:val="none"/>
              </w:rPr>
              <w:t>.</w:t>
            </w:r>
            <w:r>
              <w:rPr>
                <w:rFonts w:hint="eastAsia" w:ascii="宋体" w:hAnsi="宋体" w:eastAsia="宋体"/>
                <w:bCs/>
                <w:color w:val="auto"/>
                <w:kern w:val="2"/>
                <w:highlight w:val="none"/>
              </w:rPr>
              <w:t>2</w:t>
            </w:r>
          </w:p>
        </w:tc>
        <w:tc>
          <w:tcPr>
            <w:tcW w:w="2033" w:type="dxa"/>
            <w:vAlign w:val="center"/>
          </w:tcPr>
          <w:p w14:paraId="26FB4C5C">
            <w:pPr>
              <w:pStyle w:val="34"/>
              <w:ind w:firstLine="0"/>
              <w:jc w:val="center"/>
              <w:rPr>
                <w:rFonts w:hint="eastAsia"/>
                <w:b/>
                <w:color w:val="auto"/>
                <w:highlight w:val="none"/>
              </w:rPr>
            </w:pPr>
            <w:r>
              <w:rPr>
                <w:rFonts w:hint="eastAsia"/>
                <w:color w:val="auto"/>
                <w:highlight w:val="none"/>
              </w:rPr>
              <w:t>确定中标人</w:t>
            </w:r>
          </w:p>
        </w:tc>
        <w:tc>
          <w:tcPr>
            <w:tcW w:w="5618" w:type="dxa"/>
            <w:vAlign w:val="center"/>
          </w:tcPr>
          <w:p w14:paraId="11AD2C4F">
            <w:pPr>
              <w:pStyle w:val="34"/>
              <w:ind w:firstLine="0"/>
              <w:rPr>
                <w:rFonts w:hint="eastAsia"/>
                <w:color w:val="auto"/>
                <w:kern w:val="2"/>
                <w:highlight w:val="none"/>
              </w:rPr>
            </w:pPr>
            <w:r>
              <w:rPr>
                <w:rFonts w:hint="eastAsia"/>
                <w:color w:val="auto"/>
                <w:kern w:val="2"/>
                <w:highlight w:val="none"/>
              </w:rPr>
              <w:t>√采购人委托评标委员会确定</w:t>
            </w:r>
          </w:p>
          <w:p w14:paraId="3B897FBB">
            <w:pPr>
              <w:pStyle w:val="34"/>
              <w:ind w:firstLine="0"/>
              <w:rPr>
                <w:rFonts w:hint="eastAsia"/>
                <w:b/>
                <w:color w:val="auto"/>
                <w:highlight w:val="none"/>
              </w:rPr>
            </w:pPr>
            <w:r>
              <w:rPr>
                <w:rFonts w:hint="eastAsia"/>
                <w:color w:val="auto"/>
                <w:kern w:val="2"/>
                <w:highlight w:val="none"/>
              </w:rPr>
              <w:t>□采购人确定</w:t>
            </w:r>
          </w:p>
        </w:tc>
      </w:tr>
      <w:tr w14:paraId="522DE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6" w:type="dxa"/>
            <w:vAlign w:val="center"/>
          </w:tcPr>
          <w:p w14:paraId="0DC98C9D">
            <w:pPr>
              <w:pStyle w:val="35"/>
              <w:pBdr>
                <w:bottom w:val="none" w:color="auto" w:sz="0" w:space="0"/>
              </w:pBdr>
              <w:tabs>
                <w:tab w:val="clear" w:pos="4153"/>
                <w:tab w:val="clear" w:pos="8306"/>
              </w:tabs>
              <w:adjustRightInd/>
              <w:spacing w:line="240" w:lineRule="auto"/>
              <w:textAlignment w:val="auto"/>
              <w:rPr>
                <w:rFonts w:hint="eastAsia" w:ascii="宋体" w:hAnsi="宋体" w:eastAsia="宋体"/>
                <w:bCs/>
                <w:color w:val="auto"/>
                <w:kern w:val="2"/>
                <w:highlight w:val="none"/>
              </w:rPr>
            </w:pPr>
            <w:r>
              <w:rPr>
                <w:rFonts w:ascii="宋体" w:hAnsi="宋体" w:eastAsia="宋体"/>
                <w:bCs/>
                <w:color w:val="auto"/>
                <w:kern w:val="2"/>
                <w:highlight w:val="none"/>
              </w:rPr>
              <w:t>2</w:t>
            </w:r>
            <w:r>
              <w:rPr>
                <w:rFonts w:hint="eastAsia" w:ascii="宋体" w:hAnsi="宋体" w:eastAsia="宋体"/>
                <w:bCs/>
                <w:color w:val="auto"/>
                <w:kern w:val="2"/>
                <w:highlight w:val="none"/>
              </w:rPr>
              <w:t>3</w:t>
            </w:r>
            <w:r>
              <w:rPr>
                <w:rFonts w:ascii="宋体" w:hAnsi="宋体" w:eastAsia="宋体"/>
                <w:bCs/>
                <w:color w:val="auto"/>
                <w:kern w:val="2"/>
                <w:highlight w:val="none"/>
              </w:rPr>
              <w:t>.3</w:t>
            </w:r>
          </w:p>
        </w:tc>
        <w:tc>
          <w:tcPr>
            <w:tcW w:w="2033" w:type="dxa"/>
            <w:vAlign w:val="center"/>
          </w:tcPr>
          <w:p w14:paraId="0824110B">
            <w:pPr>
              <w:pStyle w:val="34"/>
              <w:ind w:firstLine="0"/>
              <w:jc w:val="center"/>
              <w:rPr>
                <w:rFonts w:hint="eastAsia"/>
                <w:b/>
                <w:color w:val="auto"/>
                <w:highlight w:val="none"/>
              </w:rPr>
            </w:pPr>
            <w:r>
              <w:rPr>
                <w:rFonts w:hint="eastAsia"/>
                <w:color w:val="auto"/>
                <w:highlight w:val="none"/>
              </w:rPr>
              <w:t>随中标结果公告同时公告的内容</w:t>
            </w:r>
          </w:p>
        </w:tc>
        <w:tc>
          <w:tcPr>
            <w:tcW w:w="5618" w:type="dxa"/>
            <w:vAlign w:val="center"/>
          </w:tcPr>
          <w:p w14:paraId="6AAE9AB3">
            <w:pPr>
              <w:pStyle w:val="34"/>
              <w:spacing w:line="360" w:lineRule="auto"/>
              <w:ind w:firstLine="0"/>
              <w:rPr>
                <w:rFonts w:hint="eastAsia"/>
                <w:color w:val="auto"/>
                <w:highlight w:val="none"/>
              </w:rPr>
            </w:pPr>
            <w:r>
              <w:rPr>
                <w:rFonts w:hint="eastAsia"/>
                <w:color w:val="auto"/>
                <w:highlight w:val="none"/>
              </w:rPr>
              <w:t>（1）中小企业声明函；（如有）</w:t>
            </w:r>
          </w:p>
          <w:p w14:paraId="4771BEB6">
            <w:pPr>
              <w:pStyle w:val="34"/>
              <w:spacing w:line="360" w:lineRule="auto"/>
              <w:ind w:firstLine="0"/>
              <w:rPr>
                <w:rFonts w:hint="eastAsia"/>
                <w:color w:val="auto"/>
                <w:highlight w:val="none"/>
              </w:rPr>
            </w:pPr>
            <w:r>
              <w:rPr>
                <w:rFonts w:hint="eastAsia"/>
                <w:color w:val="auto"/>
                <w:highlight w:val="none"/>
              </w:rPr>
              <w:t>（2）残疾人福利性单位声明函；（如有）</w:t>
            </w:r>
          </w:p>
          <w:p w14:paraId="71AE255B">
            <w:pPr>
              <w:pStyle w:val="34"/>
              <w:spacing w:line="360" w:lineRule="auto"/>
              <w:ind w:firstLine="0"/>
              <w:rPr>
                <w:rFonts w:hint="eastAsia"/>
                <w:color w:val="auto"/>
                <w:highlight w:val="none"/>
              </w:rPr>
            </w:pPr>
            <w:r>
              <w:rPr>
                <w:rFonts w:hint="eastAsia"/>
                <w:color w:val="auto"/>
                <w:highlight w:val="none"/>
              </w:rPr>
              <w:t>（3）中标（成交）供应商的评审总得分；</w:t>
            </w:r>
          </w:p>
          <w:p w14:paraId="40DBFAB6">
            <w:pPr>
              <w:pStyle w:val="34"/>
              <w:spacing w:line="360" w:lineRule="auto"/>
              <w:ind w:firstLine="0"/>
              <w:rPr>
                <w:rFonts w:hint="eastAsia"/>
                <w:color w:val="auto"/>
                <w:highlight w:val="none"/>
              </w:rPr>
            </w:pPr>
            <w:r>
              <w:rPr>
                <w:rFonts w:hint="eastAsia"/>
                <w:color w:val="auto"/>
                <w:highlight w:val="none"/>
              </w:rPr>
              <w:t>（4）符合本国产品标准的声明函。（如有）</w:t>
            </w:r>
          </w:p>
        </w:tc>
      </w:tr>
      <w:tr w14:paraId="6D907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6" w:type="dxa"/>
            <w:vAlign w:val="center"/>
          </w:tcPr>
          <w:p w14:paraId="46CD9F81">
            <w:pPr>
              <w:pStyle w:val="35"/>
              <w:pBdr>
                <w:bottom w:val="none" w:color="auto" w:sz="0" w:space="0"/>
              </w:pBdr>
              <w:tabs>
                <w:tab w:val="clear" w:pos="4153"/>
                <w:tab w:val="clear" w:pos="8306"/>
              </w:tabs>
              <w:adjustRightInd/>
              <w:spacing w:line="240" w:lineRule="auto"/>
              <w:textAlignment w:val="auto"/>
              <w:rPr>
                <w:rFonts w:hint="eastAsia" w:ascii="宋体" w:hAnsi="宋体" w:eastAsia="宋体"/>
                <w:bCs/>
                <w:color w:val="auto"/>
                <w:kern w:val="2"/>
                <w:highlight w:val="none"/>
              </w:rPr>
            </w:pPr>
            <w:r>
              <w:rPr>
                <w:rFonts w:hint="eastAsia" w:ascii="宋体" w:hAnsi="宋体" w:eastAsia="宋体"/>
                <w:bCs/>
                <w:color w:val="auto"/>
                <w:kern w:val="2"/>
                <w:highlight w:val="none"/>
              </w:rPr>
              <w:t>24</w:t>
            </w:r>
            <w:r>
              <w:rPr>
                <w:rFonts w:ascii="宋体" w:hAnsi="宋体" w:eastAsia="宋体"/>
                <w:bCs/>
                <w:color w:val="auto"/>
                <w:kern w:val="2"/>
                <w:highlight w:val="none"/>
              </w:rPr>
              <w:t>.1</w:t>
            </w:r>
          </w:p>
        </w:tc>
        <w:tc>
          <w:tcPr>
            <w:tcW w:w="2033" w:type="dxa"/>
            <w:vAlign w:val="center"/>
          </w:tcPr>
          <w:p w14:paraId="596CF78C">
            <w:pPr>
              <w:pStyle w:val="34"/>
              <w:ind w:firstLine="0"/>
              <w:jc w:val="center"/>
              <w:rPr>
                <w:rFonts w:hint="eastAsia"/>
                <w:b/>
                <w:color w:val="auto"/>
                <w:highlight w:val="none"/>
              </w:rPr>
            </w:pPr>
            <w:r>
              <w:rPr>
                <w:rFonts w:hint="eastAsia"/>
                <w:color w:val="auto"/>
                <w:highlight w:val="none"/>
              </w:rPr>
              <w:t>中标通知书发出的形式</w:t>
            </w:r>
          </w:p>
        </w:tc>
        <w:tc>
          <w:tcPr>
            <w:tcW w:w="5618" w:type="dxa"/>
            <w:vAlign w:val="center"/>
          </w:tcPr>
          <w:p w14:paraId="44618DFA">
            <w:pPr>
              <w:pStyle w:val="34"/>
              <w:ind w:firstLine="0"/>
              <w:rPr>
                <w:rFonts w:hint="eastAsia"/>
                <w:b/>
                <w:bCs/>
                <w:color w:val="auto"/>
                <w:highlight w:val="none"/>
              </w:rPr>
            </w:pPr>
            <w:r>
              <w:rPr>
                <w:rFonts w:hint="eastAsia"/>
                <w:color w:val="auto"/>
                <w:highlight w:val="none"/>
              </w:rPr>
              <w:t xml:space="preserve">□书面 </w:t>
            </w:r>
            <w:r>
              <w:rPr>
                <w:color w:val="auto"/>
                <w:highlight w:val="none"/>
              </w:rPr>
              <w:t xml:space="preserve">    </w:t>
            </w:r>
            <w:r>
              <w:rPr>
                <w:rFonts w:hint="eastAsia"/>
                <w:color w:val="auto"/>
                <w:highlight w:val="none"/>
              </w:rPr>
              <w:t>√数据电文</w:t>
            </w:r>
          </w:p>
        </w:tc>
      </w:tr>
      <w:tr w14:paraId="412F2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6" w:type="dxa"/>
            <w:vAlign w:val="center"/>
          </w:tcPr>
          <w:p w14:paraId="5ABF03EE">
            <w:pPr>
              <w:pStyle w:val="35"/>
              <w:pBdr>
                <w:bottom w:val="none" w:color="auto" w:sz="0" w:space="0"/>
              </w:pBdr>
              <w:tabs>
                <w:tab w:val="clear" w:pos="4153"/>
                <w:tab w:val="clear" w:pos="8306"/>
              </w:tabs>
              <w:adjustRightInd/>
              <w:spacing w:line="240" w:lineRule="auto"/>
              <w:textAlignment w:val="auto"/>
              <w:rPr>
                <w:rFonts w:hint="eastAsia" w:ascii="宋体" w:hAnsi="宋体" w:eastAsia="宋体"/>
                <w:bCs/>
                <w:color w:val="auto"/>
                <w:kern w:val="2"/>
                <w:highlight w:val="none"/>
              </w:rPr>
            </w:pPr>
            <w:r>
              <w:rPr>
                <w:rFonts w:hint="eastAsia" w:ascii="宋体" w:hAnsi="宋体" w:eastAsia="宋体"/>
                <w:bCs/>
                <w:color w:val="auto"/>
                <w:kern w:val="2"/>
                <w:highlight w:val="none"/>
              </w:rPr>
              <w:t>25</w:t>
            </w:r>
            <w:r>
              <w:rPr>
                <w:rFonts w:ascii="宋体" w:hAnsi="宋体" w:eastAsia="宋体"/>
                <w:bCs/>
                <w:color w:val="auto"/>
                <w:kern w:val="2"/>
                <w:highlight w:val="none"/>
              </w:rPr>
              <w:t>.1</w:t>
            </w:r>
          </w:p>
        </w:tc>
        <w:tc>
          <w:tcPr>
            <w:tcW w:w="2033" w:type="dxa"/>
            <w:vAlign w:val="center"/>
          </w:tcPr>
          <w:p w14:paraId="6D06AD94">
            <w:pPr>
              <w:pStyle w:val="34"/>
              <w:ind w:firstLine="0"/>
              <w:jc w:val="center"/>
              <w:rPr>
                <w:rFonts w:hint="eastAsia"/>
                <w:b/>
                <w:color w:val="auto"/>
                <w:highlight w:val="none"/>
              </w:rPr>
            </w:pPr>
            <w:r>
              <w:rPr>
                <w:rFonts w:hint="eastAsia"/>
                <w:color w:val="auto"/>
                <w:highlight w:val="none"/>
              </w:rPr>
              <w:t>告知招标结果的形式</w:t>
            </w:r>
          </w:p>
        </w:tc>
        <w:tc>
          <w:tcPr>
            <w:tcW w:w="5618" w:type="dxa"/>
            <w:vAlign w:val="center"/>
          </w:tcPr>
          <w:p w14:paraId="343E0B17">
            <w:pPr>
              <w:spacing w:line="360" w:lineRule="auto"/>
              <w:rPr>
                <w:rFonts w:hint="eastAsia" w:asciiTheme="minorEastAsia" w:hAnsiTheme="minorEastAsia" w:eastAsiaTheme="minorEastAsia"/>
                <w:color w:val="auto"/>
                <w:kern w:val="0"/>
                <w:sz w:val="24"/>
                <w:szCs w:val="24"/>
                <w:highlight w:val="none"/>
              </w:rPr>
            </w:pPr>
            <w:r>
              <w:rPr>
                <w:rFonts w:hint="eastAsia" w:asciiTheme="minorEastAsia" w:hAnsiTheme="minorEastAsia" w:eastAsiaTheme="minorEastAsia"/>
                <w:color w:val="auto"/>
                <w:kern w:val="0"/>
                <w:sz w:val="24"/>
                <w:szCs w:val="24"/>
                <w:highlight w:val="none"/>
              </w:rPr>
              <w:t>√投标人自行登录电子</w:t>
            </w:r>
            <w:r>
              <w:rPr>
                <w:rFonts w:hint="eastAsia" w:ascii="宋体" w:hAnsi="宋体" w:eastAsia="宋体" w:cs="宋体"/>
                <w:color w:val="auto"/>
                <w:sz w:val="24"/>
                <w:szCs w:val="24"/>
                <w:highlight w:val="none"/>
              </w:rPr>
              <w:t>交易</w:t>
            </w:r>
            <w:r>
              <w:rPr>
                <w:rFonts w:hint="eastAsia" w:asciiTheme="minorEastAsia" w:hAnsiTheme="minorEastAsia" w:eastAsiaTheme="minorEastAsia"/>
                <w:color w:val="auto"/>
                <w:kern w:val="0"/>
                <w:sz w:val="24"/>
                <w:szCs w:val="24"/>
                <w:highlight w:val="none"/>
              </w:rPr>
              <w:t>系统查看</w:t>
            </w:r>
          </w:p>
          <w:p w14:paraId="4B3C42CD">
            <w:pPr>
              <w:pStyle w:val="34"/>
              <w:ind w:firstLine="0"/>
              <w:rPr>
                <w:rFonts w:hint="eastAsia"/>
                <w:b/>
                <w:bCs/>
                <w:color w:val="auto"/>
                <w:kern w:val="2"/>
                <w:highlight w:val="none"/>
              </w:rPr>
            </w:pPr>
            <w:r>
              <w:rPr>
                <w:rFonts w:hint="eastAsia" w:asciiTheme="minorEastAsia" w:hAnsiTheme="minorEastAsia" w:eastAsiaTheme="minorEastAsia"/>
                <w:color w:val="auto"/>
                <w:szCs w:val="24"/>
                <w:highlight w:val="none"/>
              </w:rPr>
              <w:sym w:font="Wingdings" w:char="00A8"/>
            </w:r>
            <w:r>
              <w:rPr>
                <w:rFonts w:hint="eastAsia"/>
                <w:color w:val="auto"/>
                <w:kern w:val="2"/>
                <w:highlight w:val="none"/>
              </w:rPr>
              <w:t>评标现场告知</w:t>
            </w:r>
          </w:p>
          <w:p w14:paraId="61DB9D52">
            <w:pPr>
              <w:pStyle w:val="34"/>
              <w:ind w:firstLine="0"/>
              <w:rPr>
                <w:rFonts w:hint="eastAsia" w:asciiTheme="minorEastAsia" w:hAnsiTheme="minorEastAsia" w:eastAsiaTheme="minorEastAsia"/>
                <w:b/>
                <w:bCs/>
                <w:color w:val="auto"/>
                <w:kern w:val="2"/>
                <w:szCs w:val="24"/>
                <w:highlight w:val="none"/>
              </w:rPr>
            </w:pPr>
            <w:r>
              <w:rPr>
                <w:rFonts w:hint="eastAsia" w:asciiTheme="minorEastAsia" w:hAnsiTheme="minorEastAsia" w:eastAsiaTheme="minorEastAsia"/>
                <w:color w:val="auto"/>
                <w:szCs w:val="24"/>
                <w:highlight w:val="none"/>
              </w:rPr>
              <w:sym w:font="Wingdings" w:char="00A8"/>
            </w:r>
            <w:r>
              <w:rPr>
                <w:rFonts w:hint="eastAsia" w:asciiTheme="minorEastAsia" w:hAnsiTheme="minorEastAsia" w:eastAsiaTheme="minorEastAsia"/>
                <w:color w:val="auto"/>
                <w:kern w:val="2"/>
                <w:szCs w:val="24"/>
                <w:highlight w:val="none"/>
                <w:u w:val="single"/>
              </w:rPr>
              <w:t xml:space="preserve">            </w:t>
            </w:r>
            <w:r>
              <w:rPr>
                <w:rFonts w:hint="eastAsia"/>
                <w:color w:val="auto"/>
                <w:kern w:val="2"/>
                <w:highlight w:val="none"/>
              </w:rPr>
              <w:t>（如无新增补充事项，请删去本条）</w:t>
            </w:r>
          </w:p>
        </w:tc>
      </w:tr>
      <w:tr w14:paraId="23F9B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1006" w:type="dxa"/>
            <w:vAlign w:val="center"/>
          </w:tcPr>
          <w:p w14:paraId="49ECACDE">
            <w:pPr>
              <w:pStyle w:val="35"/>
              <w:pBdr>
                <w:bottom w:val="none" w:color="auto" w:sz="0" w:space="0"/>
              </w:pBdr>
              <w:tabs>
                <w:tab w:val="clear" w:pos="4153"/>
                <w:tab w:val="clear" w:pos="8306"/>
              </w:tabs>
              <w:adjustRightInd/>
              <w:spacing w:line="240" w:lineRule="auto"/>
              <w:textAlignment w:val="auto"/>
              <w:rPr>
                <w:rFonts w:hint="eastAsia" w:ascii="宋体" w:hAnsi="宋体" w:eastAsia="宋体"/>
                <w:bCs/>
                <w:color w:val="auto"/>
                <w:kern w:val="2"/>
                <w:highlight w:val="none"/>
              </w:rPr>
            </w:pPr>
            <w:r>
              <w:rPr>
                <w:rFonts w:hint="eastAsia" w:ascii="宋体" w:hAnsi="宋体" w:eastAsia="宋体"/>
                <w:bCs/>
                <w:color w:val="auto"/>
                <w:kern w:val="2"/>
                <w:highlight w:val="none"/>
              </w:rPr>
              <w:t>26</w:t>
            </w:r>
            <w:r>
              <w:rPr>
                <w:rFonts w:ascii="宋体" w:hAnsi="宋体" w:eastAsia="宋体"/>
                <w:bCs/>
                <w:color w:val="auto"/>
                <w:kern w:val="2"/>
                <w:highlight w:val="none"/>
              </w:rPr>
              <w:t>.1</w:t>
            </w:r>
          </w:p>
        </w:tc>
        <w:tc>
          <w:tcPr>
            <w:tcW w:w="2033" w:type="dxa"/>
            <w:vAlign w:val="center"/>
          </w:tcPr>
          <w:p w14:paraId="17B09732">
            <w:pPr>
              <w:pStyle w:val="34"/>
              <w:ind w:firstLine="0"/>
              <w:jc w:val="center"/>
              <w:rPr>
                <w:rFonts w:hint="eastAsia"/>
                <w:b/>
                <w:color w:val="auto"/>
                <w:highlight w:val="none"/>
              </w:rPr>
            </w:pPr>
            <w:r>
              <w:rPr>
                <w:rFonts w:hint="eastAsia"/>
                <w:color w:val="auto"/>
                <w:highlight w:val="none"/>
              </w:rPr>
              <w:t>履约保证金</w:t>
            </w:r>
          </w:p>
        </w:tc>
        <w:tc>
          <w:tcPr>
            <w:tcW w:w="5618" w:type="dxa"/>
          </w:tcPr>
          <w:p w14:paraId="6CA504C5">
            <w:pPr>
              <w:spacing w:line="360" w:lineRule="auto"/>
              <w:rPr>
                <w:rFonts w:hint="eastAsia"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t>（1）金额：</w:t>
            </w:r>
          </w:p>
          <w:p w14:paraId="11B4EED5">
            <w:pPr>
              <w:spacing w:line="360" w:lineRule="auto"/>
              <w:rPr>
                <w:rFonts w:hint="eastAsia" w:ascii="宋体" w:hAnsi="宋体" w:eastAsia="宋体"/>
                <w:bCs/>
                <w:color w:val="auto"/>
                <w:kern w:val="0"/>
                <w:sz w:val="24"/>
                <w:szCs w:val="28"/>
                <w:highlight w:val="none"/>
              </w:rPr>
            </w:pPr>
            <w:r>
              <w:rPr>
                <w:rFonts w:hint="eastAsia" w:asciiTheme="minorEastAsia" w:hAnsiTheme="minorEastAsia" w:eastAsiaTheme="minorEastAsia"/>
                <w:color w:val="auto"/>
                <w:kern w:val="0"/>
                <w:sz w:val="24"/>
                <w:szCs w:val="24"/>
                <w:highlight w:val="none"/>
              </w:rPr>
              <w:sym w:font="Wingdings" w:char="00A8"/>
            </w:r>
            <w:r>
              <w:rPr>
                <w:rFonts w:hint="eastAsia" w:ascii="宋体" w:hAnsi="宋体" w:eastAsia="宋体"/>
                <w:bCs/>
                <w:color w:val="auto"/>
                <w:kern w:val="0"/>
                <w:sz w:val="24"/>
                <w:szCs w:val="28"/>
                <w:highlight w:val="none"/>
              </w:rPr>
              <w:t>免收</w:t>
            </w:r>
          </w:p>
          <w:p w14:paraId="653B1F31">
            <w:pPr>
              <w:spacing w:line="360" w:lineRule="auto"/>
              <w:rPr>
                <w:rFonts w:hint="eastAsia"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t>√合同价的</w:t>
            </w:r>
            <w:r>
              <w:rPr>
                <w:rFonts w:ascii="宋体" w:hAnsi="宋体" w:eastAsia="宋体"/>
                <w:bCs/>
                <w:color w:val="auto"/>
                <w:kern w:val="0"/>
                <w:sz w:val="24"/>
                <w:szCs w:val="28"/>
                <w:highlight w:val="none"/>
                <w:u w:val="single"/>
              </w:rPr>
              <w:t xml:space="preserve"> </w:t>
            </w:r>
            <w:r>
              <w:rPr>
                <w:rFonts w:hint="eastAsia" w:ascii="宋体" w:hAnsi="宋体" w:eastAsia="宋体"/>
                <w:bCs/>
                <w:color w:val="auto"/>
                <w:kern w:val="0"/>
                <w:sz w:val="24"/>
                <w:szCs w:val="28"/>
                <w:highlight w:val="none"/>
                <w:u w:val="single"/>
              </w:rPr>
              <w:t>2.5</w:t>
            </w:r>
            <w:r>
              <w:rPr>
                <w:rFonts w:ascii="宋体" w:hAnsi="宋体" w:eastAsia="宋体"/>
                <w:bCs/>
                <w:color w:val="auto"/>
                <w:kern w:val="0"/>
                <w:sz w:val="24"/>
                <w:szCs w:val="28"/>
                <w:highlight w:val="none"/>
                <w:u w:val="single"/>
              </w:rPr>
              <w:t xml:space="preserve"> </w:t>
            </w:r>
            <w:r>
              <w:rPr>
                <w:rFonts w:ascii="宋体" w:hAnsi="宋体" w:eastAsia="宋体"/>
                <w:bCs/>
                <w:color w:val="auto"/>
                <w:kern w:val="0"/>
                <w:sz w:val="24"/>
                <w:szCs w:val="28"/>
                <w:highlight w:val="none"/>
              </w:rPr>
              <w:t>%</w:t>
            </w:r>
          </w:p>
          <w:p w14:paraId="28289563">
            <w:pPr>
              <w:spacing w:line="360" w:lineRule="auto"/>
              <w:rPr>
                <w:rFonts w:hint="eastAsia" w:ascii="宋体" w:hAnsi="宋体" w:eastAsia="宋体"/>
                <w:bCs/>
                <w:color w:val="auto"/>
                <w:kern w:val="0"/>
                <w:sz w:val="24"/>
                <w:szCs w:val="28"/>
                <w:highlight w:val="none"/>
              </w:rPr>
            </w:pPr>
            <w:r>
              <w:rPr>
                <w:rFonts w:hint="eastAsia" w:asciiTheme="minorEastAsia" w:hAnsiTheme="minorEastAsia" w:eastAsiaTheme="minorEastAsia"/>
                <w:color w:val="auto"/>
                <w:kern w:val="0"/>
                <w:sz w:val="24"/>
                <w:szCs w:val="24"/>
                <w:highlight w:val="none"/>
              </w:rPr>
              <w:sym w:font="Wingdings" w:char="00A8"/>
            </w:r>
            <w:r>
              <w:rPr>
                <w:rFonts w:hint="eastAsia" w:ascii="宋体" w:hAnsi="宋体" w:eastAsia="宋体"/>
                <w:bCs/>
                <w:color w:val="auto"/>
                <w:kern w:val="0"/>
                <w:sz w:val="24"/>
                <w:szCs w:val="28"/>
                <w:highlight w:val="none"/>
              </w:rPr>
              <w:t>定额收取：人民币</w:t>
            </w:r>
            <w:r>
              <w:rPr>
                <w:rFonts w:hint="eastAsia" w:ascii="宋体" w:hAnsi="宋体" w:eastAsia="宋体"/>
                <w:bCs/>
                <w:color w:val="auto"/>
                <w:kern w:val="0"/>
                <w:sz w:val="24"/>
                <w:szCs w:val="28"/>
                <w:highlight w:val="none"/>
                <w:u w:val="single"/>
              </w:rPr>
              <w:t xml:space="preserve">              </w:t>
            </w:r>
            <w:r>
              <w:rPr>
                <w:rFonts w:hint="eastAsia" w:ascii="宋体" w:hAnsi="宋体" w:eastAsia="宋体"/>
                <w:bCs/>
                <w:color w:val="auto"/>
                <w:kern w:val="0"/>
                <w:sz w:val="24"/>
                <w:szCs w:val="28"/>
                <w:highlight w:val="none"/>
              </w:rPr>
              <w:t>元</w:t>
            </w:r>
          </w:p>
          <w:p w14:paraId="37F7B0BC">
            <w:pPr>
              <w:spacing w:line="360" w:lineRule="auto"/>
              <w:rPr>
                <w:rFonts w:hint="eastAsia"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t>（2）支付方式：</w:t>
            </w:r>
          </w:p>
          <w:p w14:paraId="3443F7DC">
            <w:pPr>
              <w:spacing w:line="360" w:lineRule="auto"/>
              <w:rPr>
                <w:rFonts w:hint="eastAsia" w:ascii="宋体" w:hAnsi="宋体" w:eastAsia="宋体"/>
                <w:bCs/>
                <w:color w:val="auto"/>
                <w:kern w:val="0"/>
                <w:sz w:val="24"/>
                <w:szCs w:val="28"/>
                <w:highlight w:val="none"/>
              </w:rPr>
            </w:pPr>
            <w:r>
              <w:rPr>
                <w:rFonts w:hint="eastAsia" w:asciiTheme="minorEastAsia" w:hAnsiTheme="minorEastAsia" w:eastAsiaTheme="minorEastAsia"/>
                <w:i/>
                <w:iCs/>
                <w:color w:val="auto"/>
                <w:sz w:val="24"/>
                <w:highlight w:val="none"/>
              </w:rPr>
              <w:t>√</w:t>
            </w:r>
            <w:r>
              <w:rPr>
                <w:rFonts w:ascii="宋体" w:hAnsi="宋体" w:eastAsia="宋体"/>
                <w:bCs/>
                <w:color w:val="auto"/>
                <w:kern w:val="0"/>
                <w:sz w:val="24"/>
                <w:szCs w:val="28"/>
                <w:highlight w:val="none"/>
              </w:rPr>
              <w:t>转账/电汇</w:t>
            </w:r>
            <w:r>
              <w:rPr>
                <w:rFonts w:hint="eastAsia" w:asciiTheme="minorEastAsia" w:hAnsiTheme="minorEastAsia" w:eastAsiaTheme="minorEastAsia"/>
                <w:i/>
                <w:iCs/>
                <w:color w:val="auto"/>
                <w:sz w:val="24"/>
                <w:highlight w:val="none"/>
              </w:rPr>
              <w:t>√</w:t>
            </w:r>
            <w:r>
              <w:rPr>
                <w:rFonts w:ascii="宋体" w:hAnsi="宋体" w:eastAsia="宋体"/>
                <w:bCs/>
                <w:color w:val="auto"/>
                <w:kern w:val="0"/>
                <w:sz w:val="24"/>
                <w:szCs w:val="28"/>
                <w:highlight w:val="none"/>
              </w:rPr>
              <w:t xml:space="preserve">支票 </w:t>
            </w:r>
            <w:r>
              <w:rPr>
                <w:rFonts w:hint="eastAsia" w:asciiTheme="minorEastAsia" w:hAnsiTheme="minorEastAsia" w:eastAsiaTheme="minorEastAsia"/>
                <w:i/>
                <w:iCs/>
                <w:color w:val="auto"/>
                <w:sz w:val="24"/>
                <w:highlight w:val="none"/>
              </w:rPr>
              <w:t>√</w:t>
            </w:r>
            <w:r>
              <w:rPr>
                <w:rFonts w:ascii="宋体" w:hAnsi="宋体" w:eastAsia="宋体"/>
                <w:bCs/>
                <w:color w:val="auto"/>
                <w:kern w:val="0"/>
                <w:sz w:val="24"/>
                <w:szCs w:val="28"/>
                <w:highlight w:val="none"/>
              </w:rPr>
              <w:t>汇票</w:t>
            </w:r>
            <w:r>
              <w:rPr>
                <w:rFonts w:hint="eastAsia" w:ascii="宋体" w:hAnsi="宋体" w:eastAsia="宋体"/>
                <w:bCs/>
                <w:color w:val="auto"/>
                <w:kern w:val="0"/>
                <w:sz w:val="24"/>
                <w:szCs w:val="28"/>
                <w:highlight w:val="none"/>
              </w:rPr>
              <w:t xml:space="preserve"> </w:t>
            </w:r>
            <w:r>
              <w:rPr>
                <w:rFonts w:hint="eastAsia" w:asciiTheme="minorEastAsia" w:hAnsiTheme="minorEastAsia" w:eastAsiaTheme="minorEastAsia"/>
                <w:i/>
                <w:iCs/>
                <w:color w:val="auto"/>
                <w:sz w:val="24"/>
                <w:highlight w:val="none"/>
              </w:rPr>
              <w:t>√</w:t>
            </w:r>
            <w:r>
              <w:rPr>
                <w:rFonts w:hint="eastAsia" w:ascii="宋体" w:hAnsi="宋体" w:eastAsia="宋体"/>
                <w:bCs/>
                <w:color w:val="auto"/>
                <w:kern w:val="0"/>
                <w:sz w:val="24"/>
                <w:szCs w:val="28"/>
                <w:highlight w:val="none"/>
              </w:rPr>
              <w:t xml:space="preserve">本票 </w:t>
            </w:r>
            <w:r>
              <w:rPr>
                <w:rFonts w:hint="eastAsia" w:asciiTheme="minorEastAsia" w:hAnsiTheme="minorEastAsia" w:eastAsiaTheme="minorEastAsia"/>
                <w:i/>
                <w:iCs/>
                <w:color w:val="auto"/>
                <w:sz w:val="24"/>
                <w:highlight w:val="none"/>
              </w:rPr>
              <w:t>√</w:t>
            </w:r>
            <w:r>
              <w:rPr>
                <w:rFonts w:ascii="宋体" w:hAnsi="宋体" w:eastAsia="宋体"/>
                <w:bCs/>
                <w:color w:val="auto"/>
                <w:kern w:val="0"/>
                <w:sz w:val="24"/>
                <w:szCs w:val="28"/>
                <w:highlight w:val="none"/>
              </w:rPr>
              <w:t>保</w:t>
            </w:r>
            <w:r>
              <w:rPr>
                <w:rFonts w:hint="eastAsia" w:ascii="宋体" w:hAnsi="宋体" w:eastAsia="宋体"/>
                <w:bCs/>
                <w:color w:val="auto"/>
                <w:kern w:val="0"/>
                <w:sz w:val="24"/>
                <w:szCs w:val="28"/>
                <w:highlight w:val="none"/>
              </w:rPr>
              <w:t xml:space="preserve">险 </w:t>
            </w:r>
            <w:r>
              <w:rPr>
                <w:rFonts w:hint="eastAsia" w:asciiTheme="minorEastAsia" w:hAnsiTheme="minorEastAsia" w:eastAsiaTheme="minorEastAsia"/>
                <w:i/>
                <w:iCs/>
                <w:color w:val="auto"/>
                <w:sz w:val="24"/>
                <w:highlight w:val="none"/>
              </w:rPr>
              <w:t>√</w:t>
            </w:r>
            <w:r>
              <w:rPr>
                <w:rFonts w:hint="eastAsia" w:ascii="宋体" w:hAnsi="宋体" w:eastAsia="宋体"/>
                <w:bCs/>
                <w:color w:val="auto"/>
                <w:kern w:val="0"/>
                <w:sz w:val="24"/>
                <w:szCs w:val="28"/>
                <w:highlight w:val="none"/>
              </w:rPr>
              <w:t>保</w:t>
            </w:r>
            <w:r>
              <w:rPr>
                <w:rFonts w:ascii="宋体" w:hAnsi="宋体" w:eastAsia="宋体"/>
                <w:bCs/>
                <w:color w:val="auto"/>
                <w:kern w:val="0"/>
                <w:sz w:val="24"/>
                <w:szCs w:val="28"/>
                <w:highlight w:val="none"/>
              </w:rPr>
              <w:t>函</w:t>
            </w:r>
          </w:p>
          <w:p w14:paraId="2E888B6A">
            <w:pPr>
              <w:spacing w:line="360" w:lineRule="auto"/>
              <w:rPr>
                <w:rFonts w:hint="eastAsia"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t>（3）收取单位：采购人</w:t>
            </w:r>
          </w:p>
          <w:p w14:paraId="475928D7">
            <w:pPr>
              <w:spacing w:line="360" w:lineRule="auto"/>
              <w:rPr>
                <w:rFonts w:hint="eastAsia"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t>（4）收取账号：中标后提供</w:t>
            </w:r>
          </w:p>
          <w:p w14:paraId="428096F3">
            <w:pPr>
              <w:spacing w:line="360" w:lineRule="auto"/>
              <w:rPr>
                <w:rFonts w:hint="eastAsia"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t>（5）</w:t>
            </w:r>
            <w:r>
              <w:rPr>
                <w:rFonts w:hint="eastAsia" w:ascii="宋体" w:hAnsi="宋体" w:eastAsia="宋体"/>
                <w:color w:val="auto"/>
                <w:sz w:val="24"/>
                <w:highlight w:val="none"/>
              </w:rPr>
              <w:t>退还时间：</w:t>
            </w:r>
            <w:r>
              <w:rPr>
                <w:rFonts w:hint="eastAsia" w:ascii="宋体" w:hAnsi="宋体" w:eastAsia="宋体"/>
                <w:bCs/>
                <w:color w:val="auto"/>
                <w:kern w:val="0"/>
                <w:sz w:val="24"/>
                <w:szCs w:val="28"/>
                <w:highlight w:val="none"/>
              </w:rPr>
              <w:t>合同履约完成</w:t>
            </w:r>
          </w:p>
          <w:p w14:paraId="5A2BAFC2">
            <w:pPr>
              <w:spacing w:line="360" w:lineRule="auto"/>
              <w:rPr>
                <w:rFonts w:hint="eastAsia" w:ascii="宋体" w:hAnsi="宋体" w:eastAsia="宋体"/>
                <w:b/>
                <w:color w:val="auto"/>
                <w:kern w:val="0"/>
                <w:sz w:val="24"/>
                <w:szCs w:val="28"/>
                <w:highlight w:val="none"/>
              </w:rPr>
            </w:pPr>
            <w:r>
              <w:rPr>
                <w:rFonts w:hint="eastAsia" w:ascii="宋体" w:hAnsi="宋体" w:eastAsia="宋体"/>
                <w:b/>
                <w:color w:val="auto"/>
                <w:kern w:val="0"/>
                <w:sz w:val="24"/>
                <w:szCs w:val="28"/>
                <w:highlight w:val="none"/>
              </w:rPr>
              <w:t>（非供应商自身原因，逾期退还保证金的，除退还本金外，还应对超期占用资金支付利息。）</w:t>
            </w:r>
          </w:p>
          <w:p w14:paraId="59028A41">
            <w:pPr>
              <w:spacing w:line="360" w:lineRule="auto"/>
              <w:rPr>
                <w:rFonts w:hint="eastAsia" w:ascii="宋体" w:hAnsi="宋体" w:eastAsia="宋体"/>
                <w:b/>
                <w:color w:val="auto"/>
                <w:kern w:val="0"/>
                <w:sz w:val="24"/>
                <w:szCs w:val="28"/>
                <w:highlight w:val="none"/>
              </w:rPr>
            </w:pPr>
            <w:r>
              <w:rPr>
                <w:rFonts w:hint="eastAsia" w:ascii="宋体" w:hAnsi="宋体" w:eastAsia="宋体"/>
                <w:b/>
                <w:color w:val="auto"/>
                <w:kern w:val="0"/>
                <w:sz w:val="24"/>
                <w:szCs w:val="28"/>
                <w:highlight w:val="none"/>
              </w:rPr>
              <w:t>注意事项：</w:t>
            </w:r>
          </w:p>
          <w:p w14:paraId="517EC537">
            <w:pPr>
              <w:spacing w:line="360" w:lineRule="auto"/>
              <w:rPr>
                <w:rFonts w:hint="eastAsia" w:ascii="宋体" w:hAnsi="宋体" w:eastAsia="宋体"/>
                <w:b/>
                <w:color w:val="auto"/>
                <w:kern w:val="0"/>
                <w:sz w:val="24"/>
                <w:szCs w:val="28"/>
                <w:highlight w:val="none"/>
              </w:rPr>
            </w:pPr>
            <w:r>
              <w:rPr>
                <w:rFonts w:hint="eastAsia" w:ascii="宋体" w:hAnsi="宋体" w:eastAsia="宋体"/>
                <w:b/>
                <w:color w:val="auto"/>
                <w:kern w:val="0"/>
                <w:sz w:val="24"/>
                <w:szCs w:val="28"/>
                <w:highlight w:val="none"/>
              </w:rPr>
              <w:t>（1）以上各类机构出具的以担保函、保证保险承担责任的方式均须满足无条件见索即付条件。</w:t>
            </w:r>
          </w:p>
          <w:p w14:paraId="0760B483">
            <w:pPr>
              <w:spacing w:line="360" w:lineRule="auto"/>
              <w:rPr>
                <w:rFonts w:hint="eastAsia" w:ascii="宋体" w:hAnsi="宋体" w:eastAsia="宋体"/>
                <w:b/>
                <w:bCs/>
                <w:color w:val="auto"/>
                <w:kern w:val="0"/>
                <w:sz w:val="24"/>
                <w:szCs w:val="24"/>
                <w:highlight w:val="none"/>
              </w:rPr>
            </w:pPr>
            <w:r>
              <w:rPr>
                <w:rFonts w:hint="eastAsia" w:ascii="宋体" w:hAnsi="宋体" w:eastAsia="宋体"/>
                <w:b/>
                <w:color w:val="auto"/>
                <w:kern w:val="0"/>
                <w:sz w:val="24"/>
                <w:szCs w:val="28"/>
                <w:highlight w:val="none"/>
              </w:rPr>
              <w:t>（2）以担保函、保证保险形式缴纳履约保证金的，受益人和收取单位须为采购人。</w:t>
            </w:r>
          </w:p>
        </w:tc>
      </w:tr>
      <w:tr w14:paraId="7B301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0" w:hRule="atLeast"/>
          <w:jc w:val="center"/>
        </w:trPr>
        <w:tc>
          <w:tcPr>
            <w:tcW w:w="1006" w:type="dxa"/>
            <w:vAlign w:val="center"/>
          </w:tcPr>
          <w:p w14:paraId="3EF2AAB3">
            <w:pPr>
              <w:pStyle w:val="35"/>
              <w:pBdr>
                <w:bottom w:val="none" w:color="auto" w:sz="0" w:space="0"/>
              </w:pBdr>
              <w:tabs>
                <w:tab w:val="clear" w:pos="4153"/>
                <w:tab w:val="clear" w:pos="8306"/>
              </w:tabs>
              <w:adjustRightInd/>
              <w:spacing w:line="240" w:lineRule="auto"/>
              <w:textAlignment w:val="auto"/>
              <w:rPr>
                <w:rFonts w:hint="eastAsia" w:ascii="宋体" w:hAnsi="宋体" w:eastAsia="宋体"/>
                <w:bCs/>
                <w:color w:val="auto"/>
                <w:kern w:val="2"/>
                <w:highlight w:val="none"/>
              </w:rPr>
            </w:pPr>
            <w:r>
              <w:rPr>
                <w:rFonts w:hint="eastAsia" w:ascii="宋体" w:hAnsi="宋体" w:eastAsia="宋体"/>
                <w:bCs/>
                <w:color w:val="auto"/>
                <w:kern w:val="2"/>
                <w:highlight w:val="none"/>
              </w:rPr>
              <w:t>27</w:t>
            </w:r>
            <w:r>
              <w:rPr>
                <w:rFonts w:ascii="宋体" w:hAnsi="宋体" w:eastAsia="宋体"/>
                <w:bCs/>
                <w:color w:val="auto"/>
                <w:kern w:val="2"/>
                <w:highlight w:val="none"/>
              </w:rPr>
              <w:t>.1</w:t>
            </w:r>
          </w:p>
        </w:tc>
        <w:tc>
          <w:tcPr>
            <w:tcW w:w="2033" w:type="dxa"/>
            <w:vAlign w:val="center"/>
          </w:tcPr>
          <w:p w14:paraId="7E8B7754">
            <w:pPr>
              <w:pStyle w:val="34"/>
              <w:ind w:firstLine="0"/>
              <w:jc w:val="center"/>
              <w:rPr>
                <w:rFonts w:hint="eastAsia"/>
                <w:b/>
                <w:color w:val="auto"/>
                <w:highlight w:val="none"/>
              </w:rPr>
            </w:pPr>
            <w:r>
              <w:rPr>
                <w:rFonts w:hint="eastAsia"/>
                <w:color w:val="auto"/>
                <w:highlight w:val="none"/>
              </w:rPr>
              <w:t>签订合同和合同公告时间</w:t>
            </w:r>
          </w:p>
        </w:tc>
        <w:tc>
          <w:tcPr>
            <w:tcW w:w="5618" w:type="dxa"/>
          </w:tcPr>
          <w:p w14:paraId="476DDDB5">
            <w:pPr>
              <w:spacing w:line="360" w:lineRule="auto"/>
              <w:rPr>
                <w:rFonts w:hint="eastAsia" w:ascii="宋体" w:hAnsi="宋体" w:eastAsia="宋体"/>
                <w:color w:val="auto"/>
                <w:kern w:val="0"/>
                <w:sz w:val="24"/>
                <w:szCs w:val="28"/>
                <w:highlight w:val="none"/>
              </w:rPr>
            </w:pPr>
            <w:r>
              <w:rPr>
                <w:rFonts w:hint="eastAsia" w:ascii="宋体" w:hAnsi="宋体" w:eastAsia="宋体"/>
                <w:color w:val="auto"/>
                <w:kern w:val="0"/>
                <w:sz w:val="24"/>
                <w:szCs w:val="28"/>
                <w:highlight w:val="none"/>
              </w:rPr>
              <w:t>（1）采购人应当尽量缩短采购合同签订时间，原则上不得晚于中标（成交）通知</w:t>
            </w:r>
            <w:r>
              <w:rPr>
                <w:rFonts w:ascii="宋体" w:hAnsi="宋体" w:eastAsia="宋体"/>
                <w:color w:val="auto"/>
                <w:kern w:val="0"/>
                <w:sz w:val="24"/>
                <w:szCs w:val="28"/>
                <w:highlight w:val="none"/>
              </w:rPr>
              <w:t>客户名称、项目名称、预算、预计实施时间、服务内容（招标、造价）</w:t>
            </w:r>
            <w:r>
              <w:rPr>
                <w:rFonts w:hint="eastAsia" w:ascii="宋体" w:hAnsi="宋体" w:eastAsia="宋体"/>
                <w:color w:val="auto"/>
                <w:kern w:val="0"/>
                <w:sz w:val="24"/>
                <w:szCs w:val="28"/>
                <w:highlight w:val="none"/>
              </w:rPr>
              <w:t>日内完成政府采购合同公开。</w:t>
            </w:r>
          </w:p>
          <w:p w14:paraId="5CDF3CE6">
            <w:pPr>
              <w:spacing w:line="360" w:lineRule="auto"/>
              <w:rPr>
                <w:rFonts w:hint="eastAsia" w:ascii="宋体" w:hAnsi="宋体" w:eastAsia="宋体"/>
                <w:b/>
                <w:bCs/>
                <w:color w:val="auto"/>
                <w:szCs w:val="24"/>
                <w:highlight w:val="none"/>
              </w:rPr>
            </w:pPr>
            <w:r>
              <w:rPr>
                <w:rFonts w:hint="eastAsia" w:ascii="宋体" w:hAnsi="宋体" w:eastAsia="宋体"/>
                <w:color w:val="auto"/>
                <w:kern w:val="0"/>
                <w:sz w:val="24"/>
                <w:szCs w:val="28"/>
                <w:highlight w:val="none"/>
              </w:rPr>
              <w:t>（2）采购人与中标人</w:t>
            </w:r>
            <w:r>
              <w:rPr>
                <w:rFonts w:ascii="宋体" w:hAnsi="宋体" w:eastAsia="宋体"/>
                <w:color w:val="auto"/>
                <w:kern w:val="0"/>
                <w:sz w:val="24"/>
                <w:szCs w:val="28"/>
                <w:highlight w:val="none"/>
              </w:rPr>
              <w:t>不得擅自变更合同，依照政府采购法确需变更政府采购合同内容的，采购人应当自合同变更之日起2个工作日内</w:t>
            </w:r>
            <w:r>
              <w:rPr>
                <w:rFonts w:hint="eastAsia" w:ascii="宋体" w:hAnsi="宋体" w:eastAsia="宋体"/>
                <w:color w:val="auto"/>
                <w:kern w:val="0"/>
                <w:sz w:val="24"/>
                <w:szCs w:val="28"/>
                <w:highlight w:val="none"/>
              </w:rPr>
              <w:t>在</w:t>
            </w:r>
            <w:r>
              <w:rPr>
                <w:rFonts w:ascii="宋体" w:hAnsi="宋体" w:eastAsia="宋体"/>
                <w:color w:val="auto"/>
                <w:kern w:val="0"/>
                <w:sz w:val="24"/>
                <w:szCs w:val="28"/>
                <w:highlight w:val="none"/>
              </w:rPr>
              <w:t>安徽省政府采购网发布政府采购合同变更公告</w:t>
            </w:r>
            <w:r>
              <w:rPr>
                <w:rFonts w:hint="eastAsia" w:ascii="宋体" w:hAnsi="宋体" w:eastAsia="宋体"/>
                <w:color w:val="auto"/>
                <w:kern w:val="0"/>
                <w:sz w:val="24"/>
                <w:szCs w:val="28"/>
                <w:highlight w:val="none"/>
              </w:rPr>
              <w:t>，</w:t>
            </w:r>
            <w:r>
              <w:rPr>
                <w:rFonts w:ascii="宋体" w:hAnsi="宋体" w:eastAsia="宋体"/>
                <w:color w:val="auto"/>
                <w:kern w:val="0"/>
                <w:sz w:val="24"/>
                <w:szCs w:val="28"/>
                <w:highlight w:val="none"/>
              </w:rPr>
              <w:t>但涉及国家秘密、商业秘密的信息和其他依法不得公开的信息除外。</w:t>
            </w:r>
          </w:p>
        </w:tc>
      </w:tr>
      <w:tr w14:paraId="58EEC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6" w:type="dxa"/>
            <w:vAlign w:val="center"/>
          </w:tcPr>
          <w:p w14:paraId="7FCA9E86">
            <w:pPr>
              <w:pStyle w:val="35"/>
              <w:pBdr>
                <w:bottom w:val="none" w:color="auto" w:sz="0" w:space="0"/>
              </w:pBdr>
              <w:tabs>
                <w:tab w:val="clear" w:pos="4153"/>
                <w:tab w:val="clear" w:pos="8306"/>
              </w:tabs>
              <w:adjustRightInd/>
              <w:spacing w:line="240" w:lineRule="auto"/>
              <w:textAlignment w:val="auto"/>
              <w:rPr>
                <w:rFonts w:hint="eastAsia" w:ascii="宋体" w:hAnsi="宋体" w:eastAsia="宋体"/>
                <w:bCs/>
                <w:color w:val="auto"/>
                <w:kern w:val="2"/>
                <w:highlight w:val="none"/>
              </w:rPr>
            </w:pPr>
            <w:r>
              <w:rPr>
                <w:rFonts w:hint="eastAsia" w:ascii="宋体" w:hAnsi="宋体" w:eastAsia="宋体"/>
                <w:bCs/>
                <w:color w:val="auto"/>
                <w:kern w:val="2"/>
                <w:highlight w:val="none"/>
              </w:rPr>
              <w:t>28</w:t>
            </w:r>
            <w:r>
              <w:rPr>
                <w:rFonts w:ascii="宋体" w:hAnsi="宋体" w:eastAsia="宋体"/>
                <w:bCs/>
                <w:color w:val="auto"/>
                <w:kern w:val="2"/>
                <w:highlight w:val="none"/>
              </w:rPr>
              <w:t>.1</w:t>
            </w:r>
          </w:p>
        </w:tc>
        <w:tc>
          <w:tcPr>
            <w:tcW w:w="2033" w:type="dxa"/>
            <w:vAlign w:val="center"/>
          </w:tcPr>
          <w:p w14:paraId="1B30793C">
            <w:pPr>
              <w:pStyle w:val="34"/>
              <w:ind w:firstLine="0"/>
              <w:jc w:val="center"/>
              <w:rPr>
                <w:rFonts w:hint="eastAsia"/>
                <w:b/>
                <w:color w:val="auto"/>
                <w:highlight w:val="none"/>
              </w:rPr>
            </w:pPr>
            <w:r>
              <w:rPr>
                <w:rFonts w:hint="eastAsia"/>
                <w:color w:val="auto"/>
                <w:highlight w:val="none"/>
              </w:rPr>
              <w:t>代理费用</w:t>
            </w:r>
          </w:p>
        </w:tc>
        <w:tc>
          <w:tcPr>
            <w:tcW w:w="5618" w:type="dxa"/>
            <w:vAlign w:val="center"/>
          </w:tcPr>
          <w:p w14:paraId="2DA7C4B2">
            <w:pPr>
              <w:spacing w:before="39" w:line="360" w:lineRule="auto"/>
              <w:rPr>
                <w:rFonts w:hint="eastAsia"/>
                <w:color w:val="auto"/>
                <w:highlight w:val="none"/>
              </w:rPr>
            </w:pPr>
            <w:r>
              <w:rPr>
                <w:rFonts w:hint="eastAsia" w:ascii="宋体" w:hAnsi="宋体" w:eastAsia="宋体"/>
                <w:bCs/>
                <w:color w:val="auto"/>
                <w:kern w:val="0"/>
                <w:sz w:val="24"/>
                <w:szCs w:val="28"/>
                <w:highlight w:val="none"/>
              </w:rPr>
              <w:sym w:font="Wingdings" w:char="00A8"/>
            </w:r>
            <w:r>
              <w:rPr>
                <w:rFonts w:hint="eastAsia" w:ascii="宋体" w:hAnsi="宋体" w:eastAsia="宋体"/>
                <w:bCs/>
                <w:color w:val="auto"/>
                <w:kern w:val="0"/>
                <w:sz w:val="24"/>
                <w:szCs w:val="28"/>
                <w:highlight w:val="none"/>
              </w:rPr>
              <w:t>免收        √收取</w:t>
            </w:r>
          </w:p>
          <w:p w14:paraId="1831A899">
            <w:pPr>
              <w:spacing w:before="39" w:line="360" w:lineRule="auto"/>
              <w:rPr>
                <w:rFonts w:hint="eastAsia" w:ascii="宋体" w:hAnsi="宋体" w:eastAsia="宋体" w:cs="宋体"/>
                <w:color w:val="auto"/>
                <w:sz w:val="24"/>
                <w:szCs w:val="24"/>
                <w:highlight w:val="none"/>
              </w:rPr>
            </w:pPr>
            <w:r>
              <w:rPr>
                <w:rFonts w:hint="eastAsia" w:ascii="宋体" w:hAnsi="宋体" w:eastAsia="宋体"/>
                <w:bCs/>
                <w:color w:val="auto"/>
                <w:kern w:val="0"/>
                <w:sz w:val="24"/>
                <w:szCs w:val="28"/>
                <w:highlight w:val="none"/>
              </w:rPr>
              <w:t>（1）</w:t>
            </w:r>
            <w:r>
              <w:rPr>
                <w:rFonts w:ascii="宋体" w:hAnsi="宋体" w:eastAsia="宋体"/>
                <w:bCs/>
                <w:color w:val="auto"/>
                <w:kern w:val="0"/>
                <w:sz w:val="24"/>
                <w:szCs w:val="28"/>
                <w:highlight w:val="none"/>
              </w:rPr>
              <w:t>收费对象</w:t>
            </w:r>
            <w:r>
              <w:rPr>
                <w:rFonts w:ascii="宋体" w:hAnsi="宋体" w:eastAsia="宋体" w:cs="宋体"/>
                <w:color w:val="auto"/>
                <w:spacing w:val="-12"/>
                <w:sz w:val="24"/>
                <w:szCs w:val="24"/>
                <w:highlight w:val="none"/>
              </w:rPr>
              <w:t>：</w:t>
            </w:r>
            <w:r>
              <w:rPr>
                <w:rFonts w:hint="eastAsia" w:ascii="宋体" w:hAnsi="宋体" w:eastAsia="宋体"/>
                <w:bCs/>
                <w:color w:val="auto"/>
                <w:kern w:val="0"/>
                <w:sz w:val="24"/>
                <w:szCs w:val="28"/>
                <w:highlight w:val="none"/>
              </w:rPr>
              <w:sym w:font="Wingdings" w:char="00A8"/>
            </w:r>
            <w:r>
              <w:rPr>
                <w:rFonts w:ascii="宋体" w:hAnsi="宋体" w:eastAsia="宋体" w:cs="宋体"/>
                <w:color w:val="auto"/>
                <w:spacing w:val="14"/>
                <w:sz w:val="24"/>
                <w:szCs w:val="24"/>
                <w:highlight w:val="none"/>
              </w:rPr>
              <w:t>采购人</w:t>
            </w:r>
            <w:r>
              <w:rPr>
                <w:rFonts w:hint="eastAsia" w:ascii="宋体" w:hAnsi="宋体" w:eastAsia="宋体" w:cs="宋体"/>
                <w:color w:val="auto"/>
                <w:spacing w:val="14"/>
                <w:sz w:val="24"/>
                <w:szCs w:val="24"/>
                <w:highlight w:val="none"/>
              </w:rPr>
              <w:t xml:space="preserve">   √</w:t>
            </w:r>
            <w:r>
              <w:rPr>
                <w:rFonts w:ascii="宋体" w:hAnsi="宋体" w:eastAsia="宋体" w:cs="宋体"/>
                <w:color w:val="auto"/>
                <w:spacing w:val="14"/>
                <w:sz w:val="24"/>
                <w:szCs w:val="24"/>
                <w:highlight w:val="none"/>
              </w:rPr>
              <w:t>中标人</w:t>
            </w:r>
          </w:p>
          <w:p w14:paraId="441DB772">
            <w:pPr>
              <w:spacing w:line="360" w:lineRule="auto"/>
              <w:rPr>
                <w:rFonts w:hint="eastAsia" w:ascii="宋体" w:hAnsi="宋体" w:eastAsia="宋体"/>
                <w:color w:val="auto"/>
                <w:kern w:val="0"/>
                <w:sz w:val="24"/>
                <w:szCs w:val="28"/>
                <w:highlight w:val="none"/>
              </w:rPr>
            </w:pPr>
            <w:r>
              <w:rPr>
                <w:rFonts w:hint="eastAsia" w:ascii="宋体" w:hAnsi="宋体" w:eastAsia="宋体"/>
                <w:color w:val="auto"/>
                <w:kern w:val="0"/>
                <w:sz w:val="24"/>
                <w:szCs w:val="28"/>
                <w:highlight w:val="none"/>
              </w:rPr>
              <w:t>（2）</w:t>
            </w:r>
            <w:r>
              <w:rPr>
                <w:rFonts w:ascii="宋体" w:hAnsi="宋体" w:eastAsia="宋体"/>
                <w:color w:val="auto"/>
                <w:kern w:val="0"/>
                <w:sz w:val="24"/>
                <w:szCs w:val="28"/>
                <w:highlight w:val="none"/>
              </w:rPr>
              <w:t>收取方式：</w:t>
            </w:r>
            <w:r>
              <w:rPr>
                <w:rFonts w:hint="eastAsia" w:ascii="宋体" w:hAnsi="宋体" w:eastAsia="宋体"/>
                <w:color w:val="auto"/>
                <w:kern w:val="0"/>
                <w:sz w:val="24"/>
                <w:szCs w:val="28"/>
                <w:highlight w:val="none"/>
              </w:rPr>
              <w:t>由中标人领取《中标通知书》前缴纳至招标代理机构。请投标人在报价时考虑此项费用，不单独进行报价。</w:t>
            </w:r>
          </w:p>
          <w:p w14:paraId="43135D4A">
            <w:pPr>
              <w:spacing w:line="360" w:lineRule="auto"/>
              <w:rPr>
                <w:rFonts w:hint="eastAsia"/>
                <w:b/>
                <w:color w:val="auto"/>
                <w:highlight w:val="none"/>
              </w:rPr>
            </w:pPr>
            <w:r>
              <w:rPr>
                <w:rFonts w:hint="eastAsia" w:ascii="宋体" w:hAnsi="宋体" w:eastAsia="宋体"/>
                <w:color w:val="auto"/>
                <w:kern w:val="0"/>
                <w:sz w:val="24"/>
                <w:szCs w:val="28"/>
                <w:highlight w:val="none"/>
              </w:rPr>
              <w:t>（3）</w:t>
            </w:r>
            <w:r>
              <w:rPr>
                <w:rFonts w:ascii="宋体" w:hAnsi="宋体" w:eastAsia="宋体"/>
                <w:color w:val="auto"/>
                <w:kern w:val="0"/>
                <w:sz w:val="24"/>
                <w:szCs w:val="28"/>
                <w:highlight w:val="none"/>
              </w:rPr>
              <w:t>收费标准：</w:t>
            </w:r>
            <w:r>
              <w:rPr>
                <w:rFonts w:hint="eastAsia" w:ascii="宋体" w:hAnsi="宋体" w:eastAsia="宋体"/>
                <w:color w:val="auto"/>
                <w:kern w:val="0"/>
                <w:sz w:val="24"/>
                <w:szCs w:val="28"/>
                <w:highlight w:val="none"/>
              </w:rPr>
              <w:t>参照国家发改委计价〔2002〕1980号文标准的80%。</w:t>
            </w:r>
          </w:p>
        </w:tc>
      </w:tr>
      <w:tr w14:paraId="57B92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6" w:type="dxa"/>
            <w:vAlign w:val="center"/>
          </w:tcPr>
          <w:p w14:paraId="5B6E67D3">
            <w:pPr>
              <w:pStyle w:val="35"/>
              <w:pBdr>
                <w:bottom w:val="none" w:color="auto" w:sz="0" w:space="0"/>
              </w:pBdr>
              <w:tabs>
                <w:tab w:val="clear" w:pos="4153"/>
                <w:tab w:val="clear" w:pos="8306"/>
              </w:tabs>
              <w:adjustRightInd/>
              <w:spacing w:line="240" w:lineRule="auto"/>
              <w:textAlignment w:val="auto"/>
              <w:rPr>
                <w:rFonts w:hint="eastAsia" w:ascii="宋体" w:hAnsi="宋体" w:eastAsia="宋体"/>
                <w:bCs/>
                <w:color w:val="auto"/>
                <w:kern w:val="2"/>
                <w:highlight w:val="none"/>
              </w:rPr>
            </w:pPr>
            <w:r>
              <w:rPr>
                <w:rFonts w:hint="eastAsia" w:ascii="宋体" w:hAnsi="宋体" w:eastAsia="宋体"/>
                <w:bCs/>
                <w:color w:val="auto"/>
                <w:kern w:val="2"/>
                <w:highlight w:val="none"/>
              </w:rPr>
              <w:t>31</w:t>
            </w:r>
            <w:r>
              <w:rPr>
                <w:rFonts w:ascii="宋体" w:hAnsi="宋体" w:eastAsia="宋体"/>
                <w:bCs/>
                <w:color w:val="auto"/>
                <w:kern w:val="2"/>
                <w:highlight w:val="none"/>
              </w:rPr>
              <w:t>.</w:t>
            </w:r>
            <w:r>
              <w:rPr>
                <w:rFonts w:hint="eastAsia" w:ascii="宋体" w:hAnsi="宋体" w:eastAsia="宋体"/>
                <w:bCs/>
                <w:color w:val="auto"/>
                <w:kern w:val="2"/>
                <w:highlight w:val="none"/>
              </w:rPr>
              <w:t>3</w:t>
            </w:r>
          </w:p>
        </w:tc>
        <w:tc>
          <w:tcPr>
            <w:tcW w:w="2033" w:type="dxa"/>
            <w:vAlign w:val="center"/>
          </w:tcPr>
          <w:p w14:paraId="3591E3CB">
            <w:pPr>
              <w:pStyle w:val="34"/>
              <w:ind w:firstLine="0"/>
              <w:jc w:val="center"/>
              <w:rPr>
                <w:rFonts w:hint="eastAsia"/>
                <w:b/>
                <w:color w:val="auto"/>
                <w:highlight w:val="none"/>
              </w:rPr>
            </w:pPr>
            <w:r>
              <w:rPr>
                <w:rFonts w:hint="eastAsia"/>
                <w:color w:val="auto"/>
                <w:highlight w:val="none"/>
              </w:rPr>
              <w:t>质疑函递交方式、接收部门、联系电话和通讯地址</w:t>
            </w:r>
          </w:p>
        </w:tc>
        <w:tc>
          <w:tcPr>
            <w:tcW w:w="5618" w:type="dxa"/>
            <w:vAlign w:val="center"/>
          </w:tcPr>
          <w:p w14:paraId="38DCA9EE">
            <w:pPr>
              <w:spacing w:line="360" w:lineRule="auto"/>
              <w:rPr>
                <w:rFonts w:hint="eastAsia" w:ascii="宋体" w:hAnsi="宋体" w:eastAsia="宋体"/>
                <w:color w:val="auto"/>
                <w:kern w:val="0"/>
                <w:sz w:val="24"/>
                <w:szCs w:val="28"/>
                <w:highlight w:val="none"/>
              </w:rPr>
            </w:pPr>
            <w:r>
              <w:rPr>
                <w:rFonts w:hint="eastAsia" w:ascii="宋体" w:hAnsi="宋体" w:eastAsia="宋体"/>
                <w:color w:val="auto"/>
                <w:kern w:val="0"/>
                <w:sz w:val="24"/>
                <w:szCs w:val="28"/>
                <w:highlight w:val="none"/>
              </w:rPr>
              <w:t>递交方式：书面方式或电子交易系统“在线质疑”功能</w:t>
            </w:r>
          </w:p>
          <w:p w14:paraId="046FD85F">
            <w:pPr>
              <w:spacing w:line="360" w:lineRule="auto"/>
              <w:rPr>
                <w:rFonts w:hint="eastAsia" w:ascii="宋体" w:hAnsi="宋体" w:eastAsia="宋体"/>
                <w:color w:val="auto"/>
                <w:kern w:val="0"/>
                <w:sz w:val="24"/>
                <w:szCs w:val="28"/>
                <w:highlight w:val="none"/>
              </w:rPr>
            </w:pPr>
            <w:r>
              <w:rPr>
                <w:rFonts w:hint="eastAsia" w:ascii="宋体" w:hAnsi="宋体" w:eastAsia="宋体"/>
                <w:color w:val="auto"/>
                <w:kern w:val="0"/>
                <w:sz w:val="24"/>
                <w:szCs w:val="28"/>
                <w:highlight w:val="none"/>
              </w:rPr>
              <w:t>接收部门：采购人或代理机构</w:t>
            </w:r>
          </w:p>
          <w:p w14:paraId="51CC5DDF">
            <w:pPr>
              <w:spacing w:line="360" w:lineRule="auto"/>
              <w:rPr>
                <w:rFonts w:hint="eastAsia" w:ascii="宋体" w:hAnsi="宋体" w:eastAsia="宋体"/>
                <w:color w:val="auto"/>
                <w:kern w:val="0"/>
                <w:sz w:val="24"/>
                <w:szCs w:val="28"/>
                <w:highlight w:val="none"/>
              </w:rPr>
            </w:pPr>
            <w:r>
              <w:rPr>
                <w:rFonts w:ascii="宋体" w:hAnsi="宋体" w:eastAsia="宋体"/>
                <w:color w:val="auto"/>
                <w:kern w:val="0"/>
                <w:sz w:val="24"/>
                <w:szCs w:val="28"/>
                <w:highlight w:val="none"/>
              </w:rPr>
              <w:t>联系电话：</w:t>
            </w:r>
            <w:r>
              <w:rPr>
                <w:rFonts w:hint="eastAsia" w:ascii="宋体" w:hAnsi="宋体" w:eastAsia="宋体"/>
                <w:color w:val="auto"/>
                <w:kern w:val="0"/>
                <w:sz w:val="24"/>
                <w:szCs w:val="28"/>
                <w:highlight w:val="none"/>
              </w:rPr>
              <w:t>详见投标邀请</w:t>
            </w:r>
          </w:p>
          <w:p w14:paraId="283A180B">
            <w:pPr>
              <w:spacing w:line="360" w:lineRule="auto"/>
              <w:rPr>
                <w:rFonts w:hint="eastAsia"/>
                <w:b/>
                <w:color w:val="auto"/>
                <w:highlight w:val="none"/>
              </w:rPr>
            </w:pPr>
            <w:r>
              <w:rPr>
                <w:rFonts w:hint="eastAsia" w:ascii="宋体" w:hAnsi="宋体" w:eastAsia="宋体"/>
                <w:color w:val="auto"/>
                <w:kern w:val="0"/>
                <w:sz w:val="24"/>
                <w:szCs w:val="28"/>
                <w:highlight w:val="none"/>
              </w:rPr>
              <w:t>通讯地址：详见投标邀请</w:t>
            </w:r>
          </w:p>
        </w:tc>
      </w:tr>
      <w:tr w14:paraId="005E0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6" w:type="dxa"/>
            <w:vAlign w:val="center"/>
          </w:tcPr>
          <w:p w14:paraId="74B1A02A">
            <w:pPr>
              <w:pStyle w:val="35"/>
              <w:pBdr>
                <w:bottom w:val="none" w:color="auto" w:sz="0" w:space="0"/>
              </w:pBdr>
              <w:tabs>
                <w:tab w:val="clear" w:pos="4153"/>
                <w:tab w:val="clear" w:pos="8306"/>
              </w:tabs>
              <w:adjustRightInd/>
              <w:spacing w:line="240" w:lineRule="auto"/>
              <w:textAlignment w:val="auto"/>
              <w:rPr>
                <w:rFonts w:hint="eastAsia" w:ascii="宋体" w:hAnsi="宋体" w:eastAsia="宋体"/>
                <w:bCs/>
                <w:color w:val="auto"/>
                <w:kern w:val="2"/>
                <w:highlight w:val="none"/>
              </w:rPr>
            </w:pPr>
            <w:r>
              <w:rPr>
                <w:rFonts w:hint="eastAsia" w:ascii="宋体" w:hAnsi="宋体" w:eastAsia="宋体"/>
                <w:bCs/>
                <w:color w:val="auto"/>
                <w:kern w:val="2"/>
                <w:highlight w:val="none"/>
              </w:rPr>
              <w:t>32</w:t>
            </w:r>
          </w:p>
        </w:tc>
        <w:tc>
          <w:tcPr>
            <w:tcW w:w="2033" w:type="dxa"/>
            <w:vAlign w:val="center"/>
          </w:tcPr>
          <w:p w14:paraId="5D5A6C6F">
            <w:pPr>
              <w:pStyle w:val="34"/>
              <w:ind w:firstLine="0"/>
              <w:jc w:val="center"/>
              <w:rPr>
                <w:rFonts w:hint="eastAsia"/>
                <w:b/>
                <w:color w:val="auto"/>
                <w:highlight w:val="none"/>
              </w:rPr>
            </w:pPr>
            <w:r>
              <w:rPr>
                <w:rFonts w:hint="eastAsia"/>
                <w:color w:val="auto"/>
                <w:highlight w:val="none"/>
              </w:rPr>
              <w:t>其他内容</w:t>
            </w:r>
          </w:p>
        </w:tc>
        <w:tc>
          <w:tcPr>
            <w:tcW w:w="5618" w:type="dxa"/>
            <w:vAlign w:val="center"/>
          </w:tcPr>
          <w:p w14:paraId="70FEBDDB">
            <w:pPr>
              <w:pStyle w:val="34"/>
              <w:ind w:firstLine="0"/>
              <w:rPr>
                <w:rFonts w:hint="eastAsia"/>
                <w:color w:val="auto"/>
                <w:highlight w:val="none"/>
              </w:rPr>
            </w:pPr>
            <w:r>
              <w:rPr>
                <w:rFonts w:hint="eastAsia"/>
                <w:color w:val="auto"/>
                <w:highlight w:val="none"/>
              </w:rPr>
              <w:t>1、解释权：</w:t>
            </w:r>
          </w:p>
          <w:p w14:paraId="77C66B19">
            <w:pPr>
              <w:spacing w:line="360" w:lineRule="auto"/>
              <w:rPr>
                <w:rFonts w:hint="eastAsia" w:ascii="宋体" w:hAnsi="宋体" w:eastAsia="宋体"/>
                <w:color w:val="auto"/>
                <w:kern w:val="0"/>
                <w:sz w:val="24"/>
                <w:szCs w:val="28"/>
                <w:highlight w:val="none"/>
              </w:rPr>
            </w:pPr>
            <w:r>
              <w:rPr>
                <w:rFonts w:hint="eastAsia" w:ascii="宋体" w:hAnsi="宋体" w:eastAsia="宋体"/>
                <w:color w:val="auto"/>
                <w:kern w:val="0"/>
                <w:sz w:val="24"/>
                <w:szCs w:val="28"/>
                <w:highlight w:val="none"/>
              </w:rPr>
              <w:t>（1）</w:t>
            </w:r>
            <w:r>
              <w:rPr>
                <w:rFonts w:ascii="宋体" w:hAnsi="宋体" w:eastAsia="宋体"/>
                <w:color w:val="auto"/>
                <w:kern w:val="0"/>
                <w:sz w:val="24"/>
                <w:szCs w:val="28"/>
                <w:highlight w:val="none"/>
              </w:rPr>
              <w:t>构成本招标文件的各个组成文件应互为解释，互为说明；</w:t>
            </w:r>
          </w:p>
          <w:p w14:paraId="120797B2">
            <w:pPr>
              <w:spacing w:line="360" w:lineRule="auto"/>
              <w:rPr>
                <w:rFonts w:hint="eastAsia" w:ascii="宋体" w:hAnsi="宋体" w:eastAsia="宋体"/>
                <w:color w:val="auto"/>
                <w:kern w:val="0"/>
                <w:sz w:val="24"/>
                <w:szCs w:val="28"/>
                <w:highlight w:val="none"/>
              </w:rPr>
            </w:pPr>
            <w:r>
              <w:rPr>
                <w:rFonts w:hint="eastAsia" w:ascii="宋体" w:hAnsi="宋体" w:eastAsia="宋体"/>
                <w:color w:val="auto"/>
                <w:kern w:val="0"/>
                <w:sz w:val="24"/>
                <w:szCs w:val="28"/>
                <w:highlight w:val="none"/>
              </w:rPr>
              <w:t>（2）</w:t>
            </w:r>
            <w:r>
              <w:rPr>
                <w:rFonts w:ascii="宋体" w:hAnsi="宋体" w:eastAsia="宋体"/>
                <w:color w:val="auto"/>
                <w:kern w:val="0"/>
                <w:sz w:val="24"/>
                <w:szCs w:val="28"/>
                <w:highlight w:val="none"/>
              </w:rPr>
              <w:t>同一组成文件中就同一事项的规定或约定不一致的，以编排顺序在后者为准；</w:t>
            </w:r>
          </w:p>
          <w:p w14:paraId="485333A6">
            <w:pPr>
              <w:spacing w:line="360" w:lineRule="auto"/>
              <w:rPr>
                <w:rFonts w:hint="eastAsia" w:ascii="宋体" w:hAnsi="宋体" w:eastAsia="宋体"/>
                <w:color w:val="auto"/>
                <w:kern w:val="0"/>
                <w:sz w:val="24"/>
                <w:szCs w:val="28"/>
                <w:highlight w:val="none"/>
              </w:rPr>
            </w:pPr>
            <w:r>
              <w:rPr>
                <w:rFonts w:hint="eastAsia" w:ascii="宋体" w:hAnsi="宋体" w:eastAsia="宋体"/>
                <w:color w:val="auto"/>
                <w:kern w:val="0"/>
                <w:sz w:val="24"/>
                <w:szCs w:val="28"/>
                <w:highlight w:val="none"/>
              </w:rPr>
              <w:t>（3）</w:t>
            </w:r>
            <w:r>
              <w:rPr>
                <w:rFonts w:ascii="宋体" w:hAnsi="宋体" w:eastAsia="宋体"/>
                <w:color w:val="auto"/>
                <w:kern w:val="0"/>
                <w:sz w:val="24"/>
                <w:szCs w:val="28"/>
                <w:highlight w:val="none"/>
              </w:rPr>
              <w:t>如有不明确或不一致，构成合同文件组成内容的，以合同文件约定内容为准，且以专用合同条款约定的合同文件优先顺序解释；</w:t>
            </w:r>
          </w:p>
          <w:p w14:paraId="3AF132AF">
            <w:pPr>
              <w:spacing w:line="360" w:lineRule="auto"/>
              <w:rPr>
                <w:rFonts w:hint="eastAsia" w:ascii="宋体" w:hAnsi="宋体" w:eastAsia="宋体"/>
                <w:color w:val="auto"/>
                <w:kern w:val="0"/>
                <w:sz w:val="24"/>
                <w:szCs w:val="28"/>
                <w:highlight w:val="none"/>
              </w:rPr>
            </w:pPr>
            <w:r>
              <w:rPr>
                <w:rFonts w:hint="eastAsia" w:ascii="宋体" w:hAnsi="宋体" w:eastAsia="宋体"/>
                <w:color w:val="auto"/>
                <w:kern w:val="0"/>
                <w:sz w:val="24"/>
                <w:szCs w:val="28"/>
                <w:highlight w:val="none"/>
              </w:rPr>
              <w:t>（4）</w:t>
            </w:r>
            <w:r>
              <w:rPr>
                <w:rFonts w:ascii="宋体" w:hAnsi="宋体" w:eastAsia="宋体"/>
                <w:color w:val="auto"/>
                <w:kern w:val="0"/>
                <w:sz w:val="24"/>
                <w:szCs w:val="28"/>
                <w:highlight w:val="none"/>
              </w:rPr>
              <w:t>除招标文件中有特别规定外，仅适用于招标投标阶段的规定，按招标公告、</w:t>
            </w:r>
            <w:r>
              <w:rPr>
                <w:rFonts w:hint="eastAsia" w:ascii="宋体" w:hAnsi="宋体" w:eastAsia="宋体"/>
                <w:color w:val="auto"/>
                <w:kern w:val="0"/>
                <w:sz w:val="24"/>
                <w:szCs w:val="28"/>
                <w:highlight w:val="none"/>
              </w:rPr>
              <w:t>投标邀请、</w:t>
            </w:r>
            <w:r>
              <w:rPr>
                <w:rFonts w:ascii="宋体" w:hAnsi="宋体" w:eastAsia="宋体"/>
                <w:color w:val="auto"/>
                <w:kern w:val="0"/>
                <w:sz w:val="24"/>
                <w:szCs w:val="28"/>
                <w:highlight w:val="none"/>
              </w:rPr>
              <w:t>投标人须知、评标</w:t>
            </w:r>
            <w:r>
              <w:rPr>
                <w:rFonts w:hint="eastAsia" w:ascii="宋体" w:hAnsi="宋体" w:eastAsia="宋体"/>
                <w:color w:val="auto"/>
                <w:kern w:val="0"/>
                <w:sz w:val="24"/>
                <w:szCs w:val="28"/>
                <w:highlight w:val="none"/>
              </w:rPr>
              <w:t>方</w:t>
            </w:r>
            <w:r>
              <w:rPr>
                <w:rFonts w:ascii="宋体" w:hAnsi="宋体" w:eastAsia="宋体"/>
                <w:color w:val="auto"/>
                <w:kern w:val="0"/>
                <w:sz w:val="24"/>
                <w:szCs w:val="28"/>
                <w:highlight w:val="none"/>
              </w:rPr>
              <w:t>法</w:t>
            </w:r>
            <w:r>
              <w:rPr>
                <w:rFonts w:hint="eastAsia" w:ascii="宋体" w:hAnsi="宋体" w:eastAsia="宋体"/>
                <w:color w:val="auto"/>
                <w:kern w:val="0"/>
                <w:sz w:val="24"/>
                <w:szCs w:val="28"/>
                <w:highlight w:val="none"/>
              </w:rPr>
              <w:t>和标准</w:t>
            </w:r>
            <w:r>
              <w:rPr>
                <w:rFonts w:ascii="宋体" w:hAnsi="宋体" w:eastAsia="宋体"/>
                <w:color w:val="auto"/>
                <w:kern w:val="0"/>
                <w:sz w:val="24"/>
                <w:szCs w:val="28"/>
                <w:highlight w:val="none"/>
              </w:rPr>
              <w:t>、投标文件格式的先后顺序解释；</w:t>
            </w:r>
          </w:p>
          <w:p w14:paraId="52323313">
            <w:pPr>
              <w:spacing w:line="360" w:lineRule="auto"/>
              <w:rPr>
                <w:rFonts w:hint="eastAsia" w:ascii="宋体" w:hAnsi="宋体" w:eastAsia="宋体"/>
                <w:color w:val="auto"/>
                <w:kern w:val="0"/>
                <w:sz w:val="24"/>
                <w:szCs w:val="28"/>
                <w:highlight w:val="none"/>
              </w:rPr>
            </w:pPr>
            <w:r>
              <w:rPr>
                <w:rFonts w:hint="eastAsia" w:ascii="宋体" w:hAnsi="宋体" w:eastAsia="宋体"/>
                <w:color w:val="auto"/>
                <w:kern w:val="0"/>
                <w:sz w:val="24"/>
                <w:szCs w:val="28"/>
                <w:highlight w:val="none"/>
              </w:rPr>
              <w:t>（5）</w:t>
            </w:r>
            <w:r>
              <w:rPr>
                <w:rFonts w:ascii="宋体" w:hAnsi="宋体" w:eastAsia="宋体"/>
                <w:color w:val="auto"/>
                <w:kern w:val="0"/>
                <w:sz w:val="24"/>
                <w:szCs w:val="28"/>
                <w:highlight w:val="none"/>
              </w:rPr>
              <w:t>按本款前述规定仍不能形成结论的，由</w:t>
            </w:r>
            <w:r>
              <w:rPr>
                <w:rFonts w:hint="eastAsia" w:ascii="宋体" w:hAnsi="宋体" w:eastAsia="宋体"/>
                <w:color w:val="auto"/>
                <w:kern w:val="0"/>
                <w:sz w:val="24"/>
                <w:szCs w:val="28"/>
                <w:highlight w:val="none"/>
              </w:rPr>
              <w:t>采购</w:t>
            </w:r>
            <w:r>
              <w:rPr>
                <w:rFonts w:ascii="宋体" w:hAnsi="宋体" w:eastAsia="宋体"/>
                <w:color w:val="auto"/>
                <w:kern w:val="0"/>
                <w:sz w:val="24"/>
                <w:szCs w:val="28"/>
                <w:highlight w:val="none"/>
              </w:rPr>
              <w:t>人负责解释。</w:t>
            </w:r>
          </w:p>
          <w:p w14:paraId="6ADE2F06">
            <w:pPr>
              <w:spacing w:line="360" w:lineRule="auto"/>
              <w:rPr>
                <w:rFonts w:hint="eastAsia" w:ascii="宋体" w:hAnsi="宋体" w:eastAsia="宋体"/>
                <w:color w:val="auto"/>
                <w:kern w:val="0"/>
                <w:sz w:val="24"/>
                <w:szCs w:val="28"/>
                <w:highlight w:val="none"/>
              </w:rPr>
            </w:pPr>
            <w:r>
              <w:rPr>
                <w:rFonts w:hint="eastAsia" w:ascii="宋体" w:hAnsi="宋体" w:eastAsia="宋体"/>
                <w:color w:val="auto"/>
                <w:kern w:val="0"/>
                <w:sz w:val="24"/>
                <w:szCs w:val="28"/>
                <w:highlight w:val="none"/>
              </w:rPr>
              <w:t>2、“政采贷”融资指引：有融资需求的中</w:t>
            </w:r>
            <w:r>
              <w:rPr>
                <w:rFonts w:ascii="宋体" w:hAnsi="宋体" w:eastAsia="宋体"/>
                <w:color w:val="auto"/>
                <w:kern w:val="0"/>
                <w:sz w:val="24"/>
                <w:szCs w:val="28"/>
                <w:highlight w:val="none"/>
              </w:rPr>
              <w:t>标人</w:t>
            </w:r>
            <w:r>
              <w:rPr>
                <w:rFonts w:hint="eastAsia" w:ascii="宋体" w:hAnsi="宋体" w:eastAsia="宋体"/>
                <w:color w:val="auto"/>
                <w:kern w:val="0"/>
                <w:sz w:val="24"/>
                <w:szCs w:val="28"/>
                <w:highlight w:val="none"/>
              </w:rPr>
              <w:t>在取得政府采购中标或成交通知书后，可访问安徽省政府采购网“政采贷”栏目，查看和联系第三方平台或者金融机构，商洽融资事项，确定融资意向。中</w:t>
            </w:r>
            <w:r>
              <w:rPr>
                <w:rFonts w:ascii="宋体" w:hAnsi="宋体" w:eastAsia="宋体"/>
                <w:color w:val="auto"/>
                <w:kern w:val="0"/>
                <w:sz w:val="24"/>
                <w:szCs w:val="28"/>
                <w:highlight w:val="none"/>
              </w:rPr>
              <w:t>标人</w:t>
            </w:r>
            <w:r>
              <w:rPr>
                <w:rFonts w:hint="eastAsia" w:ascii="宋体" w:hAnsi="宋体" w:eastAsia="宋体"/>
                <w:color w:val="auto"/>
                <w:kern w:val="0"/>
                <w:sz w:val="24"/>
                <w:szCs w:val="28"/>
                <w:highlight w:val="none"/>
              </w:rPr>
              <w:t>签署政府采购中标（成交）合同后，登录“徽采云”金融服务模块，选择意向产品进行申请，并填写相关信息，“徽采云”金融服务模块将中</w:t>
            </w:r>
            <w:r>
              <w:rPr>
                <w:rFonts w:ascii="宋体" w:hAnsi="宋体" w:eastAsia="宋体"/>
                <w:color w:val="auto"/>
                <w:kern w:val="0"/>
                <w:sz w:val="24"/>
                <w:szCs w:val="28"/>
                <w:highlight w:val="none"/>
              </w:rPr>
              <w:t>标人</w:t>
            </w:r>
            <w:r>
              <w:rPr>
                <w:rFonts w:hint="eastAsia" w:ascii="宋体" w:hAnsi="宋体" w:eastAsia="宋体"/>
                <w:color w:val="auto"/>
                <w:kern w:val="0"/>
                <w:sz w:val="24"/>
                <w:szCs w:val="28"/>
                <w:highlight w:val="none"/>
              </w:rPr>
              <w:t>融资申请信息推送第三方平台、意向金融机构。</w:t>
            </w:r>
          </w:p>
          <w:p w14:paraId="68BEF230">
            <w:pPr>
              <w:spacing w:line="360" w:lineRule="auto"/>
              <w:rPr>
                <w:rFonts w:hint="eastAsia" w:ascii="宋体" w:hAnsi="宋体" w:eastAsia="宋体"/>
                <w:color w:val="auto"/>
                <w:kern w:val="0"/>
                <w:szCs w:val="28"/>
                <w:highlight w:val="none"/>
              </w:rPr>
            </w:pPr>
            <w:r>
              <w:rPr>
                <w:rFonts w:hint="eastAsia" w:ascii="宋体" w:hAnsi="宋体" w:eastAsia="宋体"/>
                <w:color w:val="auto"/>
                <w:kern w:val="0"/>
                <w:sz w:val="24"/>
                <w:szCs w:val="28"/>
                <w:highlight w:val="none"/>
              </w:rPr>
              <w:t>3、电子保函指引：中标人可访问安徽省政府采购网“融资/保函”栏目，申请办理电子保函（包括：履约保函、预付款保函）。</w:t>
            </w:r>
          </w:p>
        </w:tc>
      </w:tr>
      <w:tr w14:paraId="2529E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6" w:type="dxa"/>
            <w:vAlign w:val="center"/>
          </w:tcPr>
          <w:p w14:paraId="319CDF30">
            <w:pPr>
              <w:pStyle w:val="35"/>
              <w:pBdr>
                <w:bottom w:val="none" w:color="auto" w:sz="0" w:space="0"/>
              </w:pBdr>
              <w:tabs>
                <w:tab w:val="clear" w:pos="4153"/>
                <w:tab w:val="clear" w:pos="8306"/>
              </w:tabs>
              <w:adjustRightInd/>
              <w:spacing w:line="240" w:lineRule="auto"/>
              <w:textAlignment w:val="auto"/>
              <w:rPr>
                <w:rFonts w:hint="eastAsia" w:ascii="宋体" w:hAnsi="宋体" w:eastAsia="宋体"/>
                <w:bCs/>
                <w:color w:val="auto"/>
                <w:kern w:val="2"/>
                <w:highlight w:val="none"/>
              </w:rPr>
            </w:pPr>
            <w:r>
              <w:rPr>
                <w:rFonts w:hint="eastAsia" w:ascii="宋体" w:hAnsi="宋体" w:eastAsia="宋体"/>
                <w:bCs/>
                <w:color w:val="auto"/>
                <w:kern w:val="2"/>
                <w:highlight w:val="none"/>
              </w:rPr>
              <w:t>33</w:t>
            </w:r>
          </w:p>
        </w:tc>
        <w:tc>
          <w:tcPr>
            <w:tcW w:w="2033" w:type="dxa"/>
            <w:vAlign w:val="center"/>
          </w:tcPr>
          <w:p w14:paraId="6A2B00F0">
            <w:pPr>
              <w:pStyle w:val="34"/>
              <w:ind w:firstLine="0"/>
              <w:jc w:val="center"/>
              <w:rPr>
                <w:rFonts w:hint="eastAsia"/>
                <w:color w:val="auto"/>
                <w:highlight w:val="none"/>
              </w:rPr>
            </w:pPr>
            <w:r>
              <w:rPr>
                <w:rFonts w:hint="eastAsia"/>
                <w:color w:val="auto"/>
                <w:highlight w:val="none"/>
              </w:rPr>
              <w:t>网上招标特别说明</w:t>
            </w:r>
          </w:p>
        </w:tc>
        <w:tc>
          <w:tcPr>
            <w:tcW w:w="5618" w:type="dxa"/>
            <w:vAlign w:val="center"/>
          </w:tcPr>
          <w:p w14:paraId="0ECFF0E0">
            <w:pPr>
              <w:pStyle w:val="65"/>
              <w:spacing w:line="300" w:lineRule="auto"/>
              <w:rPr>
                <w:rFonts w:hint="eastAsia" w:ascii="宋体" w:hAnsi="宋体" w:cs="@仿宋_GB2312"/>
                <w:color w:val="auto"/>
                <w:kern w:val="0"/>
                <w:sz w:val="24"/>
                <w:szCs w:val="28"/>
                <w:highlight w:val="none"/>
              </w:rPr>
            </w:pPr>
            <w:r>
              <w:rPr>
                <w:rFonts w:hint="eastAsia" w:ascii="宋体" w:hAnsi="宋体" w:cs="@仿宋_GB2312"/>
                <w:color w:val="auto"/>
                <w:kern w:val="0"/>
                <w:sz w:val="24"/>
                <w:szCs w:val="28"/>
                <w:highlight w:val="none"/>
              </w:rPr>
              <w:t>1、投标供应商授权代表需是投标单位在职员工。</w:t>
            </w:r>
          </w:p>
          <w:p w14:paraId="5A587440">
            <w:pPr>
              <w:pStyle w:val="65"/>
              <w:spacing w:line="500" w:lineRule="exact"/>
              <w:rPr>
                <w:rFonts w:hint="eastAsia" w:ascii="宋体" w:hAnsi="宋体" w:cs="@仿宋_GB2312"/>
                <w:color w:val="auto"/>
                <w:kern w:val="0"/>
                <w:sz w:val="24"/>
                <w:szCs w:val="28"/>
                <w:highlight w:val="none"/>
              </w:rPr>
            </w:pPr>
            <w:r>
              <w:rPr>
                <w:rFonts w:hint="eastAsia" w:ascii="宋体" w:hAnsi="宋体" w:cs="@仿宋_GB2312"/>
                <w:color w:val="auto"/>
                <w:kern w:val="0"/>
                <w:sz w:val="24"/>
                <w:szCs w:val="28"/>
                <w:highlight w:val="none"/>
              </w:rPr>
              <w:t>2、投标供应商下载招标文件成功后，如还未在淮北市公共资源交易中心办理CA锁（电子签章）应及时到淮北市公共资源交易中心办理，投标时须携带CA锁（电子签章）并牢记解锁密码。</w:t>
            </w:r>
          </w:p>
          <w:p w14:paraId="0E70A1E8">
            <w:pPr>
              <w:pStyle w:val="65"/>
              <w:spacing w:line="500" w:lineRule="exact"/>
              <w:rPr>
                <w:rFonts w:hint="eastAsia" w:ascii="宋体" w:hAnsi="宋体" w:cs="@仿宋_GB2312"/>
                <w:color w:val="auto"/>
                <w:kern w:val="0"/>
                <w:sz w:val="24"/>
                <w:szCs w:val="28"/>
                <w:highlight w:val="none"/>
              </w:rPr>
            </w:pPr>
            <w:r>
              <w:rPr>
                <w:rFonts w:hint="eastAsia" w:ascii="宋体" w:hAnsi="宋体" w:cs="@仿宋_GB2312"/>
                <w:color w:val="auto"/>
                <w:kern w:val="0"/>
                <w:sz w:val="24"/>
                <w:szCs w:val="28"/>
                <w:highlight w:val="none"/>
              </w:rPr>
              <w:t>3、投标供应商应及时参加淮北市公共资源交易中心以多种方式通知的不定期网上招投标培训会。</w:t>
            </w:r>
          </w:p>
          <w:p w14:paraId="11FFEEEA">
            <w:pPr>
              <w:pStyle w:val="65"/>
              <w:spacing w:line="500" w:lineRule="exact"/>
              <w:rPr>
                <w:rFonts w:hint="eastAsia" w:ascii="宋体" w:hAnsi="宋体" w:cs="@仿宋_GB2312"/>
                <w:color w:val="auto"/>
                <w:kern w:val="0"/>
                <w:sz w:val="24"/>
                <w:szCs w:val="28"/>
                <w:highlight w:val="none"/>
              </w:rPr>
            </w:pPr>
            <w:r>
              <w:rPr>
                <w:rFonts w:hint="eastAsia" w:ascii="宋体" w:hAnsi="宋体" w:cs="@仿宋_GB2312"/>
                <w:color w:val="auto"/>
                <w:kern w:val="0"/>
                <w:sz w:val="24"/>
                <w:szCs w:val="28"/>
                <w:highlight w:val="none"/>
              </w:rPr>
              <w:t>4、投标供应商如因未办理CA锁（电子签章）或未参加培训会等自身的原因，而导致不能投标或投标无效的由投标供应商自行承担后果，淮北市公共资源交易中心概不负责。</w:t>
            </w:r>
          </w:p>
          <w:p w14:paraId="227D523D">
            <w:pPr>
              <w:pStyle w:val="65"/>
              <w:spacing w:line="500" w:lineRule="exact"/>
              <w:rPr>
                <w:rFonts w:hint="eastAsia" w:ascii="宋体" w:hAnsi="宋体" w:cs="@仿宋_GB2312"/>
                <w:color w:val="auto"/>
                <w:kern w:val="0"/>
                <w:sz w:val="24"/>
                <w:szCs w:val="28"/>
                <w:highlight w:val="none"/>
              </w:rPr>
            </w:pPr>
            <w:r>
              <w:rPr>
                <w:rFonts w:hint="eastAsia" w:ascii="宋体" w:hAnsi="宋体" w:cs="@仿宋_GB2312"/>
                <w:color w:val="auto"/>
                <w:kern w:val="0"/>
                <w:sz w:val="24"/>
                <w:szCs w:val="28"/>
                <w:highlight w:val="none"/>
              </w:rPr>
              <w:t>5、投标供应商下载招标文件成功后，如未在招标文件规定的投标时间截止前上传网上投标文件，而只递交了未加密的电子投标文件或纸质投标文件的，投标无效。</w:t>
            </w:r>
          </w:p>
          <w:p w14:paraId="3CC8AFB9">
            <w:pPr>
              <w:pStyle w:val="65"/>
              <w:spacing w:line="500" w:lineRule="exact"/>
              <w:rPr>
                <w:rFonts w:hint="eastAsia" w:ascii="宋体" w:hAnsi="宋体" w:cs="@仿宋_GB2312"/>
                <w:color w:val="auto"/>
                <w:kern w:val="0"/>
                <w:sz w:val="24"/>
                <w:szCs w:val="28"/>
                <w:highlight w:val="none"/>
              </w:rPr>
            </w:pPr>
            <w:r>
              <w:rPr>
                <w:rFonts w:hint="eastAsia" w:ascii="宋体" w:hAnsi="宋体" w:cs="@仿宋_GB2312"/>
                <w:color w:val="auto"/>
                <w:kern w:val="0"/>
                <w:sz w:val="24"/>
                <w:szCs w:val="28"/>
                <w:highlight w:val="none"/>
              </w:rPr>
              <w:t>6.本项目为不见面开标。项目开标时，投标人在互联网上登录淮北市公共资源交易电子交易系统参与开标，并解密其投标文件，无需委派法定代表人或其委托代理人（授权委托人）参加现场开标，无需携带数字证书在开标现场（投标时）对其投标文件解密，无需现场递交投标资料。投标人的投标文件不会因未委派法定代表人或其委托代理人（授权委托人）参加开标被认定为无效投标。具体参见网站发布投标人远程解密、在线询标操作手册。</w:t>
            </w:r>
          </w:p>
          <w:p w14:paraId="7A0A2392">
            <w:pPr>
              <w:pStyle w:val="65"/>
              <w:spacing w:line="500" w:lineRule="exact"/>
              <w:rPr>
                <w:rFonts w:hint="eastAsia" w:ascii="宋体" w:hAnsi="宋体" w:cs="@仿宋_GB2312"/>
                <w:color w:val="auto"/>
                <w:kern w:val="0"/>
                <w:sz w:val="24"/>
                <w:szCs w:val="28"/>
                <w:highlight w:val="none"/>
              </w:rPr>
            </w:pPr>
            <w:r>
              <w:rPr>
                <w:rFonts w:hint="eastAsia" w:ascii="宋体" w:hAnsi="宋体" w:cs="@仿宋_GB2312"/>
                <w:color w:val="auto"/>
                <w:kern w:val="0"/>
                <w:sz w:val="24"/>
                <w:szCs w:val="28"/>
                <w:highlight w:val="none"/>
              </w:rPr>
              <w:t>7.投标人须通过淮北市公共资源交易中心网站，点击“投标人登录”，进入淮北市公共资源交易电子交易系统，进行远程解密，解密过程中市交易中心联系电话0561-3199726；投标人可以通过交易平台中的“模拟解密”功能，自行验证其解密环境，如有技术问题请联系：0512-58188516。解密不成功</w:t>
            </w:r>
            <w:r>
              <w:rPr>
                <w:rFonts w:hint="eastAsia" w:ascii="宋体"/>
                <w:color w:val="auto"/>
                <w:sz w:val="24"/>
                <w:highlight w:val="none"/>
              </w:rPr>
              <w:t>的</w:t>
            </w:r>
            <w:r>
              <w:rPr>
                <w:rFonts w:hint="eastAsia" w:ascii="宋体" w:hAnsi="宋体" w:cs="@仿宋_GB2312"/>
                <w:color w:val="auto"/>
                <w:kern w:val="0"/>
                <w:sz w:val="24"/>
                <w:szCs w:val="28"/>
                <w:highlight w:val="none"/>
              </w:rPr>
              <w:t>，后果自负。投标人不得通过非加密电子报价文件（光盘）直接将电子投标文件导入评标系统。</w:t>
            </w:r>
          </w:p>
          <w:p w14:paraId="7203904C">
            <w:pPr>
              <w:pStyle w:val="65"/>
              <w:spacing w:line="500" w:lineRule="exact"/>
              <w:rPr>
                <w:rFonts w:hint="eastAsia" w:ascii="宋体" w:hAnsi="宋体" w:cs="@仿宋_GB2312"/>
                <w:color w:val="auto"/>
                <w:kern w:val="0"/>
                <w:sz w:val="24"/>
                <w:szCs w:val="28"/>
                <w:highlight w:val="none"/>
              </w:rPr>
            </w:pPr>
            <w:r>
              <w:rPr>
                <w:rFonts w:hint="eastAsia" w:ascii="宋体" w:hAnsi="宋体" w:cs="@仿宋_GB2312"/>
                <w:color w:val="auto"/>
                <w:kern w:val="0"/>
                <w:sz w:val="24"/>
                <w:szCs w:val="28"/>
                <w:highlight w:val="none"/>
              </w:rPr>
              <w:t>8、加密的电子投标文件为使用淮北市公共资源交易中心提供的电子标书制作工具软件（http://ggzy.huaibei.gov.cn网上下载）制作生成的加密版投标文件。加密的电子投标文件，应在投标截止时间前通过淮北市公共资源交易中心电子交易平台上传，为唯一投标效力文件。</w:t>
            </w:r>
            <w:r>
              <w:rPr>
                <w:rFonts w:ascii="宋体" w:hAnsi="宋体" w:cs="@仿宋_GB2312"/>
                <w:color w:val="auto"/>
                <w:kern w:val="0"/>
                <w:sz w:val="24"/>
                <w:szCs w:val="28"/>
                <w:highlight w:val="none"/>
              </w:rPr>
              <w:t>投标供应商如未在招标文件规定的投标时间截止前上传网上投标文件投标无效。</w:t>
            </w:r>
          </w:p>
          <w:p w14:paraId="0DC3A1FB">
            <w:pPr>
              <w:pStyle w:val="65"/>
              <w:spacing w:line="500" w:lineRule="exact"/>
              <w:rPr>
                <w:color w:val="auto"/>
                <w:highlight w:val="none"/>
              </w:rPr>
            </w:pPr>
            <w:r>
              <w:rPr>
                <w:rFonts w:hint="eastAsia" w:ascii="宋体" w:hAnsi="宋体" w:cs="@仿宋_GB2312"/>
                <w:color w:val="auto"/>
                <w:kern w:val="0"/>
                <w:sz w:val="24"/>
                <w:szCs w:val="28"/>
                <w:highlight w:val="none"/>
              </w:rPr>
              <w:t>9、中标供应商需在签订合同时向采购人提供至少两份与加密电子投标文件一致的纸质投标文件（含电子投标文件）。未加密的电子投标文件应与加密的电子投标文件为同时生成的版本。</w:t>
            </w:r>
          </w:p>
        </w:tc>
      </w:tr>
    </w:tbl>
    <w:p w14:paraId="52F9B914">
      <w:pPr>
        <w:spacing w:line="360" w:lineRule="auto"/>
        <w:jc w:val="center"/>
        <w:outlineLvl w:val="1"/>
        <w:rPr>
          <w:rFonts w:hint="eastAsia" w:asciiTheme="minorEastAsia" w:hAnsiTheme="minorEastAsia" w:eastAsiaTheme="minorEastAsia"/>
          <w:b/>
          <w:color w:val="auto"/>
          <w:sz w:val="24"/>
          <w:highlight w:val="none"/>
        </w:rPr>
      </w:pPr>
      <w:r>
        <w:rPr>
          <w:rFonts w:asciiTheme="minorEastAsia" w:hAnsiTheme="minorEastAsia" w:eastAsiaTheme="minorEastAsia"/>
          <w:b/>
          <w:color w:val="auto"/>
          <w:sz w:val="28"/>
          <w:highlight w:val="none"/>
        </w:rPr>
        <w:br w:type="page"/>
      </w:r>
      <w:bookmarkStart w:id="30" w:name="_Toc24882"/>
      <w:bookmarkStart w:id="31" w:name="_Toc14880"/>
      <w:bookmarkStart w:id="32" w:name="_Toc221656355"/>
      <w:r>
        <w:rPr>
          <w:rFonts w:hint="eastAsia" w:asciiTheme="minorEastAsia" w:hAnsiTheme="minorEastAsia" w:eastAsiaTheme="minorEastAsia"/>
          <w:b/>
          <w:color w:val="auto"/>
          <w:sz w:val="24"/>
          <w:szCs w:val="24"/>
          <w:highlight w:val="none"/>
        </w:rPr>
        <w:t>二、</w:t>
      </w:r>
      <w:r>
        <w:rPr>
          <w:rFonts w:asciiTheme="minorEastAsia" w:hAnsiTheme="minorEastAsia" w:eastAsiaTheme="minorEastAsia"/>
          <w:b/>
          <w:color w:val="auto"/>
          <w:sz w:val="24"/>
          <w:szCs w:val="24"/>
          <w:highlight w:val="none"/>
        </w:rPr>
        <w:t>投标人须知</w:t>
      </w:r>
      <w:r>
        <w:rPr>
          <w:rFonts w:hint="eastAsia" w:asciiTheme="minorEastAsia" w:hAnsiTheme="minorEastAsia" w:eastAsiaTheme="minorEastAsia"/>
          <w:b/>
          <w:color w:val="auto"/>
          <w:sz w:val="24"/>
          <w:szCs w:val="24"/>
          <w:highlight w:val="none"/>
        </w:rPr>
        <w:t>正文</w:t>
      </w:r>
      <w:bookmarkEnd w:id="30"/>
      <w:bookmarkEnd w:id="31"/>
      <w:bookmarkEnd w:id="32"/>
    </w:p>
    <w:p w14:paraId="513E184B">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1.采购人、采购代理机构及投标人</w:t>
      </w:r>
    </w:p>
    <w:p w14:paraId="5636E1E4">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.1采购人：是指依法开展政府采购活动的国家机关、事业单位、团体组织。</w:t>
      </w:r>
    </w:p>
    <w:p w14:paraId="1284D035">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.2采购代理机构：是指集中采购机构或从事采购代理业务的社会中介机构。</w:t>
      </w:r>
    </w:p>
    <w:p w14:paraId="0C3435B5">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.3政府采购监督管理部门：</w:t>
      </w:r>
      <w:r>
        <w:rPr>
          <w:rFonts w:hint="eastAsia" w:ascii="宋体" w:hAnsi="宋体" w:eastAsia="宋体"/>
          <w:color w:val="auto"/>
          <w:sz w:val="24"/>
          <w:highlight w:val="none"/>
        </w:rPr>
        <w:t>各级人民政府指定的有关部门依法履行与政府采购活动有关的监督管理职责。</w:t>
      </w:r>
    </w:p>
    <w:p w14:paraId="49FD19ED">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.4投标人：是指向采购人提供货物、工程或者服务的法人、</w:t>
      </w:r>
      <w:r>
        <w:rPr>
          <w:rFonts w:hint="eastAsia" w:ascii="宋体" w:hAnsi="宋体" w:eastAsia="宋体"/>
          <w:color w:val="auto"/>
          <w:sz w:val="24"/>
          <w:highlight w:val="none"/>
        </w:rPr>
        <w:t>其他</w:t>
      </w:r>
      <w:r>
        <w:rPr>
          <w:rFonts w:ascii="宋体" w:hAnsi="宋体" w:eastAsia="宋体"/>
          <w:color w:val="auto"/>
          <w:sz w:val="24"/>
          <w:highlight w:val="none"/>
        </w:rPr>
        <w:t>组织或者自然人。</w:t>
      </w:r>
      <w:r>
        <w:rPr>
          <w:rFonts w:hint="eastAsia" w:ascii="宋体" w:hAnsi="宋体" w:eastAsia="宋体"/>
          <w:color w:val="auto"/>
          <w:sz w:val="24"/>
          <w:highlight w:val="none"/>
        </w:rPr>
        <w:t>分支机构不得参加政府采购活动，但银行、保险、石油石化、电力、电信等特殊行业除外。</w:t>
      </w:r>
      <w:r>
        <w:rPr>
          <w:rFonts w:ascii="宋体" w:hAnsi="宋体" w:eastAsia="宋体"/>
          <w:color w:val="auto"/>
          <w:sz w:val="24"/>
          <w:highlight w:val="none"/>
        </w:rPr>
        <w:t>本项目的投标人须满足以下条件：</w:t>
      </w:r>
    </w:p>
    <w:p w14:paraId="0DD86348">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4.</w:t>
      </w:r>
      <w:r>
        <w:rPr>
          <w:rFonts w:hint="eastAsia" w:ascii="宋体" w:hAnsi="宋体" w:eastAsia="宋体"/>
          <w:color w:val="auto"/>
          <w:sz w:val="24"/>
          <w:highlight w:val="none"/>
        </w:rPr>
        <w:t>1</w:t>
      </w:r>
      <w:r>
        <w:rPr>
          <w:rFonts w:ascii="宋体" w:hAnsi="宋体" w:eastAsia="宋体"/>
          <w:color w:val="auto"/>
          <w:sz w:val="24"/>
          <w:highlight w:val="none"/>
        </w:rPr>
        <w:t>具备《中华人民共和国政府采购法》第二十二条关于供应商条件的规定，遵守本项目采购人本级和上级财政部门政府采购的有关规定。</w:t>
      </w:r>
    </w:p>
    <w:p w14:paraId="41656DE4">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4.</w:t>
      </w:r>
      <w:r>
        <w:rPr>
          <w:rFonts w:hint="eastAsia" w:ascii="宋体" w:hAnsi="宋体" w:eastAsia="宋体"/>
          <w:color w:val="auto"/>
          <w:sz w:val="24"/>
          <w:highlight w:val="none"/>
        </w:rPr>
        <w:t>2</w:t>
      </w:r>
      <w:r>
        <w:rPr>
          <w:rFonts w:ascii="宋体" w:hAnsi="宋体" w:eastAsia="宋体"/>
          <w:color w:val="auto"/>
          <w:sz w:val="24"/>
          <w:highlight w:val="none"/>
        </w:rPr>
        <w:t>以采购代理机构认可的方式获得了本项目的招标文件。</w:t>
      </w:r>
    </w:p>
    <w:p w14:paraId="6B358829">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4.</w:t>
      </w:r>
      <w:r>
        <w:rPr>
          <w:rFonts w:hint="eastAsia" w:ascii="宋体" w:hAnsi="宋体" w:eastAsia="宋体"/>
          <w:color w:val="auto"/>
          <w:sz w:val="24"/>
          <w:highlight w:val="none"/>
        </w:rPr>
        <w:t>3</w:t>
      </w:r>
      <w:r>
        <w:rPr>
          <w:rFonts w:ascii="宋体" w:hAnsi="宋体" w:eastAsia="宋体"/>
          <w:color w:val="auto"/>
          <w:sz w:val="24"/>
          <w:highlight w:val="none"/>
        </w:rPr>
        <w:t>若</w:t>
      </w:r>
      <w:r>
        <w:rPr>
          <w:rFonts w:hint="eastAsia" w:ascii="宋体" w:hAnsi="宋体" w:eastAsia="宋体"/>
          <w:color w:val="auto"/>
          <w:sz w:val="24"/>
          <w:highlight w:val="none"/>
        </w:rPr>
        <w:t>采购需求</w:t>
      </w:r>
      <w:r>
        <w:rPr>
          <w:rFonts w:ascii="宋体" w:hAnsi="宋体" w:eastAsia="宋体"/>
          <w:color w:val="auto"/>
          <w:sz w:val="24"/>
          <w:highlight w:val="none"/>
        </w:rPr>
        <w:t>中写明允许采购进口产品，投标人应保证所投产品可履行合法报通关手续进入中国关境内。</w:t>
      </w:r>
    </w:p>
    <w:p w14:paraId="7FB57FE8">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若采购需求中未写明允许采购进口产品，如投标人所投产品为进口产品，其投标将被认定为</w:t>
      </w:r>
      <w:r>
        <w:rPr>
          <w:rFonts w:hint="eastAsia" w:ascii="宋体" w:hAnsi="宋体" w:eastAsia="宋体"/>
          <w:b/>
          <w:color w:val="auto"/>
          <w:sz w:val="24"/>
          <w:highlight w:val="none"/>
        </w:rPr>
        <w:t>投标无效</w:t>
      </w:r>
      <w:r>
        <w:rPr>
          <w:rFonts w:hint="eastAsia" w:ascii="宋体" w:hAnsi="宋体" w:eastAsia="宋体"/>
          <w:color w:val="auto"/>
          <w:sz w:val="24"/>
          <w:highlight w:val="none"/>
        </w:rPr>
        <w:t>。</w:t>
      </w:r>
    </w:p>
    <w:p w14:paraId="70F8E096">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5</w:t>
      </w:r>
      <w:r>
        <w:rPr>
          <w:rFonts w:hint="eastAsia" w:ascii="宋体" w:hAnsi="宋体" w:eastAsia="宋体"/>
          <w:color w:val="auto"/>
          <w:sz w:val="24"/>
          <w:highlight w:val="none"/>
        </w:rPr>
        <w:t>若招标公告</w:t>
      </w:r>
      <w:r>
        <w:rPr>
          <w:rFonts w:ascii="宋体" w:hAnsi="宋体" w:eastAsia="宋体"/>
          <w:color w:val="auto"/>
          <w:sz w:val="24"/>
          <w:highlight w:val="none"/>
        </w:rPr>
        <w:t>中允许联合体投标，对联合体规定如下：</w:t>
      </w:r>
    </w:p>
    <w:p w14:paraId="16CCDDB2">
      <w:pPr>
        <w:spacing w:line="360" w:lineRule="auto"/>
        <w:ind w:firstLine="480" w:firstLineChars="200"/>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5.1两个以上供应商可以组成一个投标联合体，以一个投标人的身份投标。联合体投标的，</w:t>
      </w:r>
      <w:r>
        <w:rPr>
          <w:rFonts w:hint="eastAsia" w:ascii="宋体" w:hAnsi="宋体" w:eastAsia="宋体"/>
          <w:color w:val="auto"/>
          <w:sz w:val="24"/>
          <w:highlight w:val="none"/>
        </w:rPr>
        <w:t>招标文件获取</w:t>
      </w:r>
      <w:r>
        <w:rPr>
          <w:rFonts w:ascii="宋体" w:hAnsi="宋体" w:eastAsia="宋体"/>
          <w:color w:val="auto"/>
          <w:sz w:val="24"/>
          <w:highlight w:val="none"/>
        </w:rPr>
        <w:t>手续由联合体</w:t>
      </w:r>
      <w:r>
        <w:rPr>
          <w:rFonts w:hint="eastAsia" w:ascii="宋体" w:hAnsi="宋体" w:eastAsia="宋体"/>
          <w:color w:val="auto"/>
          <w:sz w:val="24"/>
          <w:highlight w:val="none"/>
        </w:rPr>
        <w:t>中</w:t>
      </w:r>
      <w:r>
        <w:rPr>
          <w:rFonts w:ascii="宋体" w:hAnsi="宋体" w:eastAsia="宋体"/>
          <w:color w:val="auto"/>
          <w:sz w:val="24"/>
          <w:highlight w:val="none"/>
        </w:rPr>
        <w:t>任</w:t>
      </w:r>
      <w:r>
        <w:rPr>
          <w:rFonts w:hint="eastAsia" w:ascii="宋体" w:hAnsi="宋体" w:eastAsia="宋体"/>
          <w:color w:val="auto"/>
          <w:sz w:val="24"/>
          <w:highlight w:val="none"/>
        </w:rPr>
        <w:t>一成员单位</w:t>
      </w:r>
      <w:r>
        <w:rPr>
          <w:rFonts w:ascii="宋体" w:hAnsi="宋体" w:eastAsia="宋体"/>
          <w:color w:val="auto"/>
          <w:sz w:val="24"/>
          <w:highlight w:val="none"/>
        </w:rPr>
        <w:t>办理均可。</w:t>
      </w:r>
    </w:p>
    <w:p w14:paraId="4C61AB3D">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5.2联合体各方均应符合《中华人民共和国政府采购法》第二十二条规定的条件。</w:t>
      </w:r>
    </w:p>
    <w:p w14:paraId="59F31821">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5.3采购人根据采购项目对投标人的特殊要求，联合体中至少应当有一方符合相关规定。</w:t>
      </w:r>
    </w:p>
    <w:p w14:paraId="5DF18314">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5.4联合体各方应签订</w:t>
      </w:r>
      <w:r>
        <w:rPr>
          <w:rFonts w:hint="eastAsia" w:ascii="宋体" w:hAnsi="宋体" w:eastAsia="宋体"/>
          <w:color w:val="auto"/>
          <w:sz w:val="24"/>
          <w:highlight w:val="none"/>
        </w:rPr>
        <w:t>联合协议</w:t>
      </w:r>
      <w:r>
        <w:rPr>
          <w:rFonts w:ascii="宋体" w:hAnsi="宋体" w:eastAsia="宋体"/>
          <w:color w:val="auto"/>
          <w:sz w:val="24"/>
          <w:highlight w:val="none"/>
        </w:rPr>
        <w:t>，明确约定联合体各方承担的工作和相应的责任，并将</w:t>
      </w:r>
      <w:r>
        <w:rPr>
          <w:rFonts w:hint="eastAsia" w:ascii="宋体" w:hAnsi="宋体" w:eastAsia="宋体"/>
          <w:color w:val="auto"/>
          <w:sz w:val="24"/>
          <w:highlight w:val="none"/>
        </w:rPr>
        <w:t>联合协议</w:t>
      </w:r>
      <w:r>
        <w:rPr>
          <w:rFonts w:ascii="宋体" w:hAnsi="宋体" w:eastAsia="宋体"/>
          <w:color w:val="auto"/>
          <w:sz w:val="24"/>
          <w:highlight w:val="none"/>
        </w:rPr>
        <w:t>作为投标文件</w:t>
      </w:r>
      <w:r>
        <w:rPr>
          <w:rFonts w:hint="eastAsia" w:ascii="宋体" w:hAnsi="宋体" w:eastAsia="宋体"/>
          <w:color w:val="auto"/>
          <w:sz w:val="24"/>
          <w:highlight w:val="none"/>
        </w:rPr>
        <w:t>的</w:t>
      </w:r>
      <w:r>
        <w:rPr>
          <w:rFonts w:ascii="宋体" w:hAnsi="宋体" w:eastAsia="宋体"/>
          <w:color w:val="auto"/>
          <w:sz w:val="24"/>
          <w:highlight w:val="none"/>
        </w:rPr>
        <w:t>一部分提交。</w:t>
      </w:r>
    </w:p>
    <w:p w14:paraId="153E6EFC">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5.5大中型企业、其他自然人、法人或者非法人组织与小型、微型企业组成联合体共同参加投标，</w:t>
      </w:r>
      <w:r>
        <w:rPr>
          <w:rFonts w:hint="eastAsia" w:ascii="宋体" w:hAnsi="宋体" w:eastAsia="宋体"/>
          <w:color w:val="auto"/>
          <w:sz w:val="24"/>
          <w:highlight w:val="none"/>
        </w:rPr>
        <w:t>联合协议中</w:t>
      </w:r>
      <w:r>
        <w:rPr>
          <w:rFonts w:ascii="宋体" w:hAnsi="宋体" w:eastAsia="宋体"/>
          <w:color w:val="auto"/>
          <w:sz w:val="24"/>
          <w:highlight w:val="none"/>
        </w:rPr>
        <w:t>应写明小型、微型企业的协议合同金额占到</w:t>
      </w:r>
      <w:r>
        <w:rPr>
          <w:rFonts w:hint="eastAsia" w:ascii="宋体" w:hAnsi="宋体" w:eastAsia="宋体"/>
          <w:color w:val="auto"/>
          <w:sz w:val="24"/>
          <w:highlight w:val="none"/>
        </w:rPr>
        <w:t>联合协议</w:t>
      </w:r>
      <w:r>
        <w:rPr>
          <w:rFonts w:ascii="宋体" w:hAnsi="宋体" w:eastAsia="宋体"/>
          <w:color w:val="auto"/>
          <w:sz w:val="24"/>
          <w:highlight w:val="none"/>
        </w:rPr>
        <w:t>投标总金额的比例。</w:t>
      </w:r>
    </w:p>
    <w:p w14:paraId="17346F6C">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5.6</w:t>
      </w:r>
      <w:r>
        <w:rPr>
          <w:rFonts w:hint="eastAsia" w:ascii="宋体" w:hAnsi="宋体" w:eastAsia="宋体"/>
          <w:color w:val="auto"/>
          <w:sz w:val="24"/>
          <w:highlight w:val="none"/>
        </w:rPr>
        <w:t>联合体中有同类资质的供应商按照联合体分工承担相同工作的，</w:t>
      </w:r>
      <w:r>
        <w:rPr>
          <w:rFonts w:ascii="宋体" w:hAnsi="宋体" w:eastAsia="宋体"/>
          <w:color w:val="auto"/>
          <w:sz w:val="24"/>
          <w:highlight w:val="none"/>
        </w:rPr>
        <w:t>应当按照</w:t>
      </w:r>
      <w:r>
        <w:rPr>
          <w:rFonts w:hint="eastAsia" w:ascii="宋体" w:hAnsi="宋体" w:eastAsia="宋体"/>
          <w:color w:val="auto"/>
          <w:sz w:val="24"/>
          <w:highlight w:val="none"/>
        </w:rPr>
        <w:t>资质等级较低的供应商确定资质等级。</w:t>
      </w:r>
    </w:p>
    <w:p w14:paraId="51A34CB6">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5.7以联合体形式参加政府采购活动的，联合体各方不得再单独参加或者与其他供应商另外组成联合体参加本项目投标，否则相关投标将被认定为</w:t>
      </w:r>
      <w:r>
        <w:rPr>
          <w:rFonts w:ascii="宋体" w:hAnsi="宋体" w:eastAsia="宋体"/>
          <w:b/>
          <w:color w:val="auto"/>
          <w:sz w:val="24"/>
          <w:highlight w:val="none"/>
        </w:rPr>
        <w:t>投标无效</w:t>
      </w:r>
      <w:r>
        <w:rPr>
          <w:rFonts w:ascii="宋体" w:hAnsi="宋体" w:eastAsia="宋体"/>
          <w:color w:val="auto"/>
          <w:sz w:val="24"/>
          <w:highlight w:val="none"/>
        </w:rPr>
        <w:t>。</w:t>
      </w:r>
    </w:p>
    <w:p w14:paraId="00C2D117">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5.8对联合体投标的其他资格要求见</w:t>
      </w:r>
      <w:r>
        <w:rPr>
          <w:rFonts w:hint="eastAsia" w:ascii="宋体" w:hAnsi="宋体" w:eastAsia="宋体"/>
          <w:color w:val="auto"/>
          <w:sz w:val="24"/>
          <w:highlight w:val="none"/>
        </w:rPr>
        <w:t>申请人的资格要求</w:t>
      </w:r>
      <w:r>
        <w:rPr>
          <w:rFonts w:ascii="宋体" w:hAnsi="宋体" w:eastAsia="宋体"/>
          <w:color w:val="auto"/>
          <w:sz w:val="24"/>
          <w:highlight w:val="none"/>
        </w:rPr>
        <w:t>。</w:t>
      </w:r>
    </w:p>
    <w:p w14:paraId="4CDC1335">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2.资金落实情况</w:t>
      </w:r>
    </w:p>
    <w:p w14:paraId="31D9A668">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本</w:t>
      </w:r>
      <w:r>
        <w:rPr>
          <w:rFonts w:hint="eastAsia" w:ascii="宋体" w:hAnsi="宋体" w:eastAsia="宋体"/>
          <w:color w:val="auto"/>
          <w:sz w:val="24"/>
          <w:highlight w:val="none"/>
        </w:rPr>
        <w:t>项目</w:t>
      </w:r>
      <w:r>
        <w:rPr>
          <w:rFonts w:hint="eastAsia" w:asciiTheme="minorEastAsia" w:hAnsiTheme="minorEastAsia" w:eastAsiaTheme="minorEastAsia"/>
          <w:color w:val="auto"/>
          <w:sz w:val="24"/>
          <w:highlight w:val="none"/>
        </w:rPr>
        <w:t>的采购人已获得足以支付本次招标后所签订的合同项下的资金。</w:t>
      </w:r>
    </w:p>
    <w:p w14:paraId="05D1B409">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3.投标费用</w:t>
      </w:r>
    </w:p>
    <w:p w14:paraId="58F45EFC">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不论投标的结果如何，投标人应承担所有与准备和参加投标有关的费用。</w:t>
      </w:r>
    </w:p>
    <w:p w14:paraId="31ECDFB6">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4.适用法律</w:t>
      </w:r>
    </w:p>
    <w:p w14:paraId="674F0DC0">
      <w:pPr>
        <w:spacing w:line="360" w:lineRule="auto"/>
        <w:ind w:firstLine="435"/>
        <w:rPr>
          <w:rFonts w:hint="eastAsia" w:asciiTheme="minorEastAsia" w:hAnsiTheme="minorEastAsia" w:eastAsiaTheme="minorEastAsia"/>
          <w:b/>
          <w:color w:val="auto"/>
          <w:sz w:val="24"/>
          <w:highlight w:val="none"/>
        </w:rPr>
      </w:pPr>
      <w:r>
        <w:rPr>
          <w:rFonts w:hint="eastAsia" w:ascii="宋体" w:hAnsi="宋体" w:eastAsia="宋体"/>
          <w:color w:val="auto"/>
          <w:sz w:val="24"/>
          <w:highlight w:val="none"/>
        </w:rPr>
        <w:t>本项目采购人、采购代理机构、投标人、评标委员会的相关行为均受《中华人民共和国政府采购法》、《中华人民共和国政府采购法实施条例》及本项目本级和上级财政部门、政府采购监督管理部门的政府采购有关规定的约束，其权利受到上述法律法规的保护。</w:t>
      </w:r>
    </w:p>
    <w:p w14:paraId="5ECF6746">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5.招标文件构成</w:t>
      </w:r>
    </w:p>
    <w:p w14:paraId="55B9D12E">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5.1招标文件包括下列内容：</w:t>
      </w:r>
    </w:p>
    <w:p w14:paraId="549AA900">
      <w:pPr>
        <w:spacing w:line="360" w:lineRule="auto"/>
        <w:ind w:firstLine="840" w:firstLineChars="35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第一章</w:t>
      </w:r>
      <w:r>
        <w:rPr>
          <w:rFonts w:asciiTheme="minorEastAsia" w:hAnsiTheme="minorEastAsia" w:eastAsiaTheme="minorEastAsia"/>
          <w:color w:val="auto"/>
          <w:sz w:val="24"/>
          <w:highlight w:val="none"/>
        </w:rPr>
        <w:t xml:space="preserve">  投标邀请</w:t>
      </w:r>
    </w:p>
    <w:p w14:paraId="4C52564B">
      <w:pPr>
        <w:spacing w:line="360" w:lineRule="auto"/>
        <w:ind w:firstLine="840" w:firstLineChars="35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第二章</w:t>
      </w:r>
      <w:r>
        <w:rPr>
          <w:rFonts w:asciiTheme="minorEastAsia" w:hAnsiTheme="minorEastAsia" w:eastAsiaTheme="minorEastAsia"/>
          <w:color w:val="auto"/>
          <w:sz w:val="24"/>
          <w:highlight w:val="none"/>
        </w:rPr>
        <w:t xml:space="preserve">  投标人须知</w:t>
      </w:r>
    </w:p>
    <w:p w14:paraId="0DC5474D">
      <w:pPr>
        <w:spacing w:line="360" w:lineRule="auto"/>
        <w:ind w:firstLine="840" w:firstLineChars="35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第三章</w:t>
      </w:r>
      <w:r>
        <w:rPr>
          <w:rFonts w:asciiTheme="minorEastAsia" w:hAnsiTheme="minorEastAsia" w:eastAsiaTheme="minorEastAsia"/>
          <w:color w:val="auto"/>
          <w:sz w:val="24"/>
          <w:highlight w:val="none"/>
        </w:rPr>
        <w:t xml:space="preserve">  采购需求</w:t>
      </w:r>
    </w:p>
    <w:p w14:paraId="644D1675">
      <w:pPr>
        <w:spacing w:line="360" w:lineRule="auto"/>
        <w:ind w:firstLine="840" w:firstLineChars="35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第四章</w:t>
      </w:r>
      <w:r>
        <w:rPr>
          <w:rFonts w:asciiTheme="minorEastAsia" w:hAnsiTheme="minorEastAsia" w:eastAsiaTheme="minorEastAsia"/>
          <w:color w:val="auto"/>
          <w:sz w:val="24"/>
          <w:highlight w:val="none"/>
        </w:rPr>
        <w:t xml:space="preserve">  评标</w:t>
      </w:r>
      <w:r>
        <w:rPr>
          <w:rFonts w:hint="eastAsia" w:asciiTheme="minorEastAsia" w:hAnsiTheme="minorEastAsia" w:eastAsiaTheme="minorEastAsia"/>
          <w:color w:val="auto"/>
          <w:sz w:val="24"/>
          <w:highlight w:val="none"/>
        </w:rPr>
        <w:t>方法</w:t>
      </w:r>
      <w:r>
        <w:rPr>
          <w:rFonts w:asciiTheme="minorEastAsia" w:hAnsiTheme="minorEastAsia" w:eastAsiaTheme="minorEastAsia"/>
          <w:color w:val="auto"/>
          <w:sz w:val="24"/>
          <w:highlight w:val="none"/>
        </w:rPr>
        <w:t>和标准</w:t>
      </w:r>
    </w:p>
    <w:p w14:paraId="7C637D43">
      <w:pPr>
        <w:spacing w:line="360" w:lineRule="auto"/>
        <w:ind w:firstLine="840" w:firstLineChars="35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第五章</w:t>
      </w:r>
      <w:r>
        <w:rPr>
          <w:rFonts w:asciiTheme="minorEastAsia" w:hAnsiTheme="minorEastAsia" w:eastAsiaTheme="minorEastAsia"/>
          <w:color w:val="auto"/>
          <w:sz w:val="24"/>
          <w:highlight w:val="none"/>
        </w:rPr>
        <w:t xml:space="preserve">  政府采购合同</w:t>
      </w:r>
    </w:p>
    <w:p w14:paraId="0FC96FB9">
      <w:pPr>
        <w:spacing w:line="360" w:lineRule="auto"/>
        <w:ind w:firstLine="840" w:firstLineChars="35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第六章</w:t>
      </w:r>
      <w:r>
        <w:rPr>
          <w:rFonts w:asciiTheme="minorEastAsia" w:hAnsiTheme="minorEastAsia" w:eastAsiaTheme="minorEastAsia"/>
          <w:color w:val="auto"/>
          <w:sz w:val="24"/>
          <w:highlight w:val="none"/>
        </w:rPr>
        <w:t xml:space="preserve">  投标文件格式</w:t>
      </w:r>
    </w:p>
    <w:p w14:paraId="3DCFD3C4">
      <w:pPr>
        <w:spacing w:line="360" w:lineRule="auto"/>
        <w:ind w:firstLine="840" w:firstLineChars="35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第七章</w:t>
      </w:r>
      <w:r>
        <w:rPr>
          <w:rFonts w:asciiTheme="minorEastAsia" w:hAnsiTheme="minorEastAsia" w:eastAsiaTheme="minorEastAsia"/>
          <w:color w:val="auto"/>
          <w:sz w:val="24"/>
          <w:highlight w:val="none"/>
        </w:rPr>
        <w:t xml:space="preserve">  政府采购</w:t>
      </w:r>
      <w:r>
        <w:rPr>
          <w:rFonts w:hint="eastAsia" w:asciiTheme="minorEastAsia" w:hAnsiTheme="minorEastAsia" w:eastAsiaTheme="minorEastAsia"/>
          <w:color w:val="auto"/>
          <w:sz w:val="24"/>
          <w:highlight w:val="none"/>
        </w:rPr>
        <w:t>询问函和</w:t>
      </w:r>
      <w:r>
        <w:rPr>
          <w:rFonts w:asciiTheme="minorEastAsia" w:hAnsiTheme="minorEastAsia" w:eastAsiaTheme="minorEastAsia"/>
          <w:color w:val="auto"/>
          <w:sz w:val="24"/>
          <w:highlight w:val="none"/>
        </w:rPr>
        <w:t>质疑函范本</w:t>
      </w:r>
    </w:p>
    <w:p w14:paraId="68FBCB96">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现场</w:t>
      </w:r>
      <w:r>
        <w:rPr>
          <w:rFonts w:hint="eastAsia" w:asciiTheme="minorEastAsia" w:hAnsiTheme="minorEastAsia" w:eastAsiaTheme="minorEastAsia"/>
          <w:color w:val="auto"/>
          <w:sz w:val="24"/>
          <w:highlight w:val="none"/>
        </w:rPr>
        <w:t>考察（标前答疑会）</w:t>
      </w:r>
      <w:r>
        <w:rPr>
          <w:rFonts w:asciiTheme="minorEastAsia" w:hAnsiTheme="minorEastAsia" w:eastAsiaTheme="minorEastAsia"/>
          <w:color w:val="auto"/>
          <w:sz w:val="24"/>
          <w:highlight w:val="none"/>
        </w:rPr>
        <w:t>及相关事项见</w:t>
      </w:r>
      <w:r>
        <w:rPr>
          <w:rFonts w:asciiTheme="minorEastAsia" w:hAnsiTheme="minorEastAsia" w:eastAsiaTheme="minorEastAsia"/>
          <w:color w:val="auto"/>
          <w:sz w:val="24"/>
          <w:highlight w:val="none"/>
          <w:u w:val="single"/>
        </w:rPr>
        <w:t>投标</w:t>
      </w:r>
      <w:r>
        <w:rPr>
          <w:rFonts w:hint="eastAsia" w:asciiTheme="minorEastAsia" w:hAnsiTheme="minorEastAsia" w:eastAsiaTheme="minorEastAsia"/>
          <w:color w:val="auto"/>
          <w:sz w:val="24"/>
          <w:highlight w:val="none"/>
          <w:u w:val="single"/>
        </w:rPr>
        <w:t>人</w:t>
      </w:r>
      <w:r>
        <w:rPr>
          <w:rFonts w:asciiTheme="minorEastAsia" w:hAnsiTheme="minorEastAsia" w:eastAsiaTheme="minorEastAsia"/>
          <w:color w:val="auto"/>
          <w:sz w:val="24"/>
          <w:highlight w:val="none"/>
          <w:u w:val="single"/>
        </w:rPr>
        <w:t>须知前附表</w:t>
      </w:r>
      <w:r>
        <w:rPr>
          <w:rFonts w:asciiTheme="minorEastAsia" w:hAnsiTheme="minorEastAsia" w:eastAsiaTheme="minorEastAsia"/>
          <w:color w:val="auto"/>
          <w:sz w:val="24"/>
          <w:highlight w:val="none"/>
        </w:rPr>
        <w:t>。</w:t>
      </w:r>
    </w:p>
    <w:p w14:paraId="1EBE1AFA">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原则上采购人、采购代理机构不要求投标人提供样品。仅凭书面方式不能准确描述采购需求，或者需要对样品进行主观判断以确认是否满足采购需求等特殊情况除外。</w:t>
      </w:r>
    </w:p>
    <w:p w14:paraId="7E1DA85B">
      <w:pPr>
        <w:spacing w:line="360" w:lineRule="auto"/>
        <w:ind w:firstLine="435"/>
        <w:rPr>
          <w:rFonts w:hint="eastAsia"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如需提供样品，对样品相关要求见</w:t>
      </w:r>
      <w:r>
        <w:rPr>
          <w:rFonts w:hint="eastAsia" w:asciiTheme="minorEastAsia" w:hAnsiTheme="minorEastAsia" w:eastAsiaTheme="minorEastAsia"/>
          <w:color w:val="auto"/>
          <w:sz w:val="24"/>
          <w:highlight w:val="none"/>
        </w:rPr>
        <w:t>采购需求</w:t>
      </w:r>
      <w:r>
        <w:rPr>
          <w:rFonts w:asciiTheme="minorEastAsia" w:hAnsiTheme="minorEastAsia" w:eastAsiaTheme="minorEastAsia"/>
          <w:color w:val="auto"/>
          <w:sz w:val="24"/>
          <w:highlight w:val="none"/>
        </w:rPr>
        <w:t>，对样品的评审方法及评审标准见招标文件第</w:t>
      </w:r>
      <w:r>
        <w:rPr>
          <w:rFonts w:hint="eastAsia" w:asciiTheme="minorEastAsia" w:hAnsiTheme="minorEastAsia" w:eastAsiaTheme="minorEastAsia"/>
          <w:color w:val="auto"/>
          <w:sz w:val="24"/>
          <w:highlight w:val="none"/>
        </w:rPr>
        <w:t>四</w:t>
      </w:r>
      <w:r>
        <w:rPr>
          <w:rFonts w:asciiTheme="minorEastAsia" w:hAnsiTheme="minorEastAsia" w:eastAsiaTheme="minorEastAsia"/>
          <w:color w:val="auto"/>
          <w:sz w:val="24"/>
          <w:highlight w:val="none"/>
        </w:rPr>
        <w:t>章。</w:t>
      </w:r>
    </w:p>
    <w:p w14:paraId="52D0AC75">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投标人应认真阅读招标文件所有的事项、格式、条款和技术规范等。</w:t>
      </w:r>
    </w:p>
    <w:p w14:paraId="2A74F905">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6.招标文件的澄清与修改</w:t>
      </w:r>
    </w:p>
    <w:p w14:paraId="6481F999">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投标人如对招标文件内容有疑问，必须在</w:t>
      </w:r>
      <w:r>
        <w:rPr>
          <w:rFonts w:ascii="宋体" w:hAnsi="宋体" w:eastAsia="宋体"/>
          <w:color w:val="auto"/>
          <w:sz w:val="24"/>
          <w:highlight w:val="none"/>
          <w:u w:val="single"/>
        </w:rPr>
        <w:t>投标人须知前附表</w:t>
      </w:r>
      <w:r>
        <w:rPr>
          <w:rFonts w:asciiTheme="minorEastAsia" w:hAnsiTheme="minorEastAsia" w:eastAsiaTheme="minorEastAsia"/>
          <w:color w:val="auto"/>
          <w:sz w:val="24"/>
          <w:highlight w:val="none"/>
        </w:rPr>
        <w:t>规定的</w:t>
      </w:r>
      <w:r>
        <w:rPr>
          <w:rFonts w:hint="eastAsia" w:asciiTheme="minorEastAsia" w:hAnsiTheme="minorEastAsia" w:eastAsiaTheme="minorEastAsia"/>
          <w:color w:val="auto"/>
          <w:sz w:val="24"/>
          <w:highlight w:val="none"/>
        </w:rPr>
        <w:t>网上询问</w:t>
      </w:r>
      <w:r>
        <w:rPr>
          <w:rFonts w:asciiTheme="minorEastAsia" w:hAnsiTheme="minorEastAsia" w:eastAsiaTheme="minorEastAsia"/>
          <w:color w:val="auto"/>
          <w:sz w:val="24"/>
          <w:highlight w:val="none"/>
        </w:rPr>
        <w:t>截止时间前以网上提问形式</w:t>
      </w:r>
      <w:r>
        <w:rPr>
          <w:rFonts w:hint="eastAsia" w:asciiTheme="minorEastAsia" w:hAnsiTheme="minorEastAsia" w:eastAsiaTheme="minorEastAsia"/>
          <w:color w:val="auto"/>
          <w:sz w:val="24"/>
          <w:highlight w:val="none"/>
        </w:rPr>
        <w:t>（电子交易系统）</w:t>
      </w:r>
      <w:r>
        <w:rPr>
          <w:rFonts w:asciiTheme="minorEastAsia" w:hAnsiTheme="minorEastAsia" w:eastAsiaTheme="minorEastAsia"/>
          <w:color w:val="auto"/>
          <w:sz w:val="24"/>
          <w:highlight w:val="none"/>
        </w:rPr>
        <w:t>提交给采购代理机构。</w:t>
      </w:r>
    </w:p>
    <w:p w14:paraId="6951590B">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2采购人可主动地或在答复投标人提出的询问时对招标文件进行澄清与修改。</w:t>
      </w:r>
      <w:r>
        <w:rPr>
          <w:rFonts w:asciiTheme="minorEastAsia" w:hAnsiTheme="minorEastAsia" w:eastAsiaTheme="minorEastAsia"/>
          <w:color w:val="auto"/>
          <w:sz w:val="24"/>
          <w:highlight w:val="none"/>
        </w:rPr>
        <w:t>采购代理机构将</w:t>
      </w:r>
      <w:r>
        <w:rPr>
          <w:rFonts w:hint="eastAsia" w:asciiTheme="minorEastAsia" w:hAnsiTheme="minorEastAsia" w:eastAsiaTheme="minorEastAsia"/>
          <w:color w:val="auto"/>
          <w:sz w:val="24"/>
          <w:highlight w:val="none"/>
        </w:rPr>
        <w:t>在淮北市公共资源交易中心网站和</w:t>
      </w:r>
      <w:r>
        <w:rPr>
          <w:rFonts w:asciiTheme="minorEastAsia" w:hAnsiTheme="minorEastAsia" w:eastAsiaTheme="minorEastAsia"/>
          <w:color w:val="auto"/>
          <w:sz w:val="24"/>
          <w:highlight w:val="none"/>
        </w:rPr>
        <w:t>安徽省政府采购网</w:t>
      </w:r>
      <w:r>
        <w:rPr>
          <w:rFonts w:hint="eastAsia" w:asciiTheme="minorEastAsia" w:hAnsiTheme="minorEastAsia" w:eastAsiaTheme="minorEastAsia"/>
          <w:color w:val="auto"/>
          <w:sz w:val="24"/>
          <w:highlight w:val="none"/>
        </w:rPr>
        <w:t>以发布更正公告的方式</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澄清或修改招标文件，更正公告的</w:t>
      </w:r>
      <w:r>
        <w:rPr>
          <w:rFonts w:asciiTheme="minorEastAsia" w:hAnsiTheme="minorEastAsia" w:eastAsiaTheme="minorEastAsia"/>
          <w:color w:val="auto"/>
          <w:sz w:val="24"/>
          <w:highlight w:val="none"/>
        </w:rPr>
        <w:t>内容</w:t>
      </w:r>
      <w:r>
        <w:rPr>
          <w:rFonts w:hint="eastAsia" w:asciiTheme="minorEastAsia" w:hAnsiTheme="minorEastAsia" w:eastAsiaTheme="minorEastAsia"/>
          <w:color w:val="auto"/>
          <w:sz w:val="24"/>
          <w:highlight w:val="none"/>
        </w:rPr>
        <w:t>作</w:t>
      </w:r>
      <w:r>
        <w:rPr>
          <w:rFonts w:asciiTheme="minorEastAsia" w:hAnsiTheme="minorEastAsia" w:eastAsiaTheme="minorEastAsia"/>
          <w:color w:val="auto"/>
          <w:sz w:val="24"/>
          <w:highlight w:val="none"/>
        </w:rPr>
        <w:t>为招标文件</w:t>
      </w:r>
      <w:r>
        <w:rPr>
          <w:rFonts w:hint="eastAsia" w:asciiTheme="minorEastAsia" w:hAnsiTheme="minorEastAsia" w:eastAsiaTheme="minorEastAsia"/>
          <w:color w:val="auto"/>
          <w:sz w:val="24"/>
          <w:highlight w:val="none"/>
        </w:rPr>
        <w:t>的</w:t>
      </w:r>
      <w:r>
        <w:rPr>
          <w:rFonts w:asciiTheme="minorEastAsia" w:hAnsiTheme="minorEastAsia" w:eastAsiaTheme="minorEastAsia"/>
          <w:color w:val="auto"/>
          <w:sz w:val="24"/>
          <w:highlight w:val="none"/>
        </w:rPr>
        <w:t>组成部分，对投标人起约束作用</w:t>
      </w:r>
      <w:r>
        <w:rPr>
          <w:rFonts w:hint="eastAsia" w:asciiTheme="minorEastAsia" w:hAnsiTheme="minorEastAsia" w:eastAsiaTheme="minorEastAsia"/>
          <w:color w:val="auto"/>
          <w:sz w:val="24"/>
          <w:highlight w:val="none"/>
        </w:rPr>
        <w:t>。投标人应主动上网查询。采购代理机构不承担投标人未及时关注相关信息引发的相关责任。</w:t>
      </w:r>
    </w:p>
    <w:p w14:paraId="70D1DB80">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6.3任何人或任何组织向投标人提供的任何书面或口头资料，未经采购代理机构在网上发布或书面通知，均作无效处理，不得作为招标文件的组成部分。采购代理机构对投标人由此而做出的推论、理解和结论概不负责。</w:t>
      </w:r>
    </w:p>
    <w:p w14:paraId="3DDEBBE8">
      <w:pPr>
        <w:spacing w:line="360" w:lineRule="auto"/>
        <w:ind w:firstLine="435"/>
        <w:rPr>
          <w:rFonts w:hint="eastAsia" w:asciiTheme="minorEastAsia" w:hAnsiTheme="minorEastAsia" w:eastAsiaTheme="minorEastAsia"/>
          <w:i/>
          <w:iCs/>
          <w:color w:val="auto"/>
          <w:sz w:val="24"/>
          <w:highlight w:val="none"/>
        </w:rPr>
      </w:pPr>
      <w:r>
        <w:rPr>
          <w:rFonts w:hint="eastAsia" w:asciiTheme="minorEastAsia" w:hAnsiTheme="minorEastAsia" w:eastAsiaTheme="minorEastAsia"/>
          <w:color w:val="auto"/>
          <w:sz w:val="24"/>
          <w:highlight w:val="none"/>
        </w:rPr>
        <w:t>6</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对于</w:t>
      </w:r>
      <w:r>
        <w:rPr>
          <w:rFonts w:ascii="宋体" w:hAnsi="宋体" w:eastAsia="宋体"/>
          <w:color w:val="auto"/>
          <w:sz w:val="24"/>
          <w:highlight w:val="none"/>
        </w:rPr>
        <w:t>没有</w:t>
      </w:r>
      <w:r>
        <w:rPr>
          <w:rFonts w:asciiTheme="minorEastAsia" w:hAnsiTheme="minorEastAsia" w:eastAsiaTheme="minorEastAsia"/>
          <w:color w:val="auto"/>
          <w:sz w:val="24"/>
          <w:highlight w:val="none"/>
        </w:rPr>
        <w:t>提出</w:t>
      </w:r>
      <w:r>
        <w:rPr>
          <w:rFonts w:hint="eastAsia" w:asciiTheme="minorEastAsia" w:hAnsiTheme="minorEastAsia" w:eastAsiaTheme="minorEastAsia"/>
          <w:color w:val="auto"/>
          <w:sz w:val="24"/>
          <w:highlight w:val="none"/>
        </w:rPr>
        <w:t>疑问</w:t>
      </w:r>
      <w:r>
        <w:rPr>
          <w:rFonts w:asciiTheme="minorEastAsia" w:hAnsiTheme="minorEastAsia" w:eastAsiaTheme="minorEastAsia"/>
          <w:color w:val="auto"/>
          <w:sz w:val="24"/>
          <w:highlight w:val="none"/>
        </w:rPr>
        <w:t>又参与了</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项目投标的</w:t>
      </w:r>
      <w:r>
        <w:rPr>
          <w:rFonts w:hint="eastAsia" w:asciiTheme="minorEastAsia" w:hAnsiTheme="minorEastAsia" w:eastAsiaTheme="minorEastAsia"/>
          <w:color w:val="auto"/>
          <w:sz w:val="24"/>
          <w:highlight w:val="none"/>
        </w:rPr>
        <w:t>投标人</w:t>
      </w:r>
      <w:r>
        <w:rPr>
          <w:rFonts w:asciiTheme="minorEastAsia" w:hAnsiTheme="minorEastAsia" w:eastAsiaTheme="minorEastAsia"/>
          <w:color w:val="auto"/>
          <w:sz w:val="24"/>
          <w:highlight w:val="none"/>
        </w:rPr>
        <w:t>将被视为完全认同</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招标文件（含</w:t>
      </w:r>
      <w:r>
        <w:rPr>
          <w:rFonts w:hint="eastAsia" w:asciiTheme="minorEastAsia" w:hAnsiTheme="minorEastAsia" w:eastAsiaTheme="minorEastAsia"/>
          <w:color w:val="auto"/>
          <w:sz w:val="24"/>
          <w:highlight w:val="none"/>
        </w:rPr>
        <w:t>更正公告的</w:t>
      </w:r>
      <w:r>
        <w:rPr>
          <w:rFonts w:asciiTheme="minorEastAsia" w:hAnsiTheme="minorEastAsia" w:eastAsiaTheme="minorEastAsia"/>
          <w:color w:val="auto"/>
          <w:sz w:val="24"/>
          <w:highlight w:val="none"/>
        </w:rPr>
        <w:t>内容）</w:t>
      </w:r>
      <w:r>
        <w:rPr>
          <w:rFonts w:hint="eastAsia" w:asciiTheme="minorEastAsia" w:hAnsiTheme="minorEastAsia" w:eastAsiaTheme="minorEastAsia"/>
          <w:i/>
          <w:color w:val="auto"/>
          <w:sz w:val="24"/>
          <w:highlight w:val="none"/>
        </w:rPr>
        <w:t>。</w:t>
      </w:r>
    </w:p>
    <w:p w14:paraId="24DB773E">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7.投标范围及投标文件中标准和计量单位的使用</w:t>
      </w:r>
    </w:p>
    <w:p w14:paraId="127A55B3">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7</w:t>
      </w:r>
      <w:r>
        <w:rPr>
          <w:rFonts w:asciiTheme="minorEastAsia" w:hAnsiTheme="minorEastAsia" w:eastAsiaTheme="minorEastAsia"/>
          <w:color w:val="auto"/>
          <w:sz w:val="24"/>
          <w:highlight w:val="none"/>
        </w:rPr>
        <w:t>.1</w:t>
      </w:r>
      <w:r>
        <w:rPr>
          <w:rFonts w:ascii="宋体" w:hAnsi="宋体" w:eastAsia="宋体"/>
          <w:color w:val="auto"/>
          <w:sz w:val="24"/>
          <w:highlight w:val="none"/>
        </w:rPr>
        <w:t>项目</w:t>
      </w:r>
      <w:r>
        <w:rPr>
          <w:rFonts w:asciiTheme="minorEastAsia" w:hAnsiTheme="minorEastAsia" w:eastAsiaTheme="minorEastAsia"/>
          <w:color w:val="auto"/>
          <w:sz w:val="24"/>
          <w:highlight w:val="none"/>
        </w:rPr>
        <w:t>有分包的，投标人可对招标文件其中某一个或几个分包进行投标，除非在</w:t>
      </w:r>
      <w:r>
        <w:rPr>
          <w:rFonts w:asciiTheme="minorEastAsia" w:hAnsiTheme="minorEastAsia" w:eastAsiaTheme="minorEastAsia"/>
          <w:color w:val="auto"/>
          <w:sz w:val="24"/>
          <w:highlight w:val="none"/>
          <w:u w:val="single"/>
        </w:rPr>
        <w:t>投标人须知前附表</w:t>
      </w:r>
      <w:r>
        <w:rPr>
          <w:rFonts w:asciiTheme="minorEastAsia" w:hAnsiTheme="minorEastAsia" w:eastAsiaTheme="minorEastAsia"/>
          <w:color w:val="auto"/>
          <w:sz w:val="24"/>
          <w:highlight w:val="none"/>
        </w:rPr>
        <w:t>中另有规定。</w:t>
      </w:r>
    </w:p>
    <w:p w14:paraId="7A367523">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7</w:t>
      </w:r>
      <w:r>
        <w:rPr>
          <w:rFonts w:asciiTheme="minorEastAsia" w:hAnsiTheme="minorEastAsia" w:eastAsiaTheme="minorEastAsia"/>
          <w:color w:val="auto"/>
          <w:sz w:val="24"/>
          <w:highlight w:val="none"/>
        </w:rPr>
        <w:t>.2投标人应当对所投分包招标文件中“</w:t>
      </w:r>
      <w:r>
        <w:rPr>
          <w:rFonts w:hint="eastAsia" w:asciiTheme="minorEastAsia" w:hAnsiTheme="minorEastAsia" w:eastAsiaTheme="minorEastAsia"/>
          <w:color w:val="auto"/>
          <w:sz w:val="24"/>
          <w:highlight w:val="none"/>
        </w:rPr>
        <w:t>采购</w:t>
      </w:r>
      <w:r>
        <w:rPr>
          <w:rFonts w:asciiTheme="minorEastAsia" w:hAnsiTheme="minorEastAsia" w:eastAsiaTheme="minorEastAsia"/>
          <w:color w:val="auto"/>
          <w:sz w:val="24"/>
          <w:highlight w:val="none"/>
        </w:rPr>
        <w:t>需求”所列的所有内容进行投标，如仅响应</w:t>
      </w:r>
      <w:r>
        <w:rPr>
          <w:rFonts w:hint="eastAsia" w:asciiTheme="minorEastAsia" w:hAnsiTheme="minorEastAsia" w:eastAsiaTheme="minorEastAsia"/>
          <w:color w:val="auto"/>
          <w:sz w:val="24"/>
          <w:highlight w:val="none"/>
        </w:rPr>
        <w:t>所投包别</w:t>
      </w:r>
      <w:r>
        <w:rPr>
          <w:rFonts w:asciiTheme="minorEastAsia" w:hAnsiTheme="minorEastAsia" w:eastAsiaTheme="minorEastAsia"/>
          <w:color w:val="auto"/>
          <w:sz w:val="24"/>
          <w:highlight w:val="none"/>
        </w:rPr>
        <w:t>中的部分内容，其</w:t>
      </w:r>
      <w:r>
        <w:rPr>
          <w:rFonts w:hint="eastAsia" w:asciiTheme="minorEastAsia" w:hAnsiTheme="minorEastAsia" w:eastAsiaTheme="minorEastAsia"/>
          <w:color w:val="auto"/>
          <w:sz w:val="24"/>
          <w:highlight w:val="none"/>
        </w:rPr>
        <w:t>所投包别的</w:t>
      </w:r>
      <w:r>
        <w:rPr>
          <w:rFonts w:asciiTheme="minorEastAsia" w:hAnsiTheme="minorEastAsia" w:eastAsiaTheme="minorEastAsia"/>
          <w:color w:val="auto"/>
          <w:sz w:val="24"/>
          <w:highlight w:val="none"/>
        </w:rPr>
        <w:t>投标将被认定为</w:t>
      </w:r>
      <w:r>
        <w:rPr>
          <w:rFonts w:asciiTheme="minorEastAsia" w:hAnsiTheme="minorEastAsia" w:eastAsiaTheme="minorEastAsia"/>
          <w:b/>
          <w:color w:val="auto"/>
          <w:sz w:val="24"/>
          <w:highlight w:val="none"/>
        </w:rPr>
        <w:t>投标无效</w:t>
      </w:r>
      <w:r>
        <w:rPr>
          <w:rFonts w:asciiTheme="minorEastAsia" w:hAnsiTheme="minorEastAsia" w:eastAsiaTheme="minorEastAsia"/>
          <w:color w:val="auto"/>
          <w:sz w:val="24"/>
          <w:highlight w:val="none"/>
        </w:rPr>
        <w:t>。</w:t>
      </w:r>
    </w:p>
    <w:p w14:paraId="1638BA00">
      <w:pPr>
        <w:spacing w:line="360" w:lineRule="auto"/>
        <w:ind w:firstLine="435"/>
        <w:rPr>
          <w:rFonts w:hint="eastAsia" w:asciiTheme="minorEastAsia" w:hAnsiTheme="minorEastAsia" w:eastAsiaTheme="minorEastAsia"/>
          <w:color w:val="auto"/>
          <w:sz w:val="24"/>
          <w:highlight w:val="none"/>
        </w:rPr>
      </w:pPr>
      <w:bookmarkStart w:id="33" w:name="_Hlk16458980"/>
      <w:r>
        <w:rPr>
          <w:rFonts w:hint="eastAsia" w:asciiTheme="minorEastAsia" w:hAnsiTheme="minorEastAsia" w:eastAsiaTheme="minorEastAsia"/>
          <w:color w:val="auto"/>
          <w:sz w:val="24"/>
          <w:highlight w:val="none"/>
        </w:rPr>
        <w:t>7</w:t>
      </w:r>
      <w:r>
        <w:rPr>
          <w:rFonts w:asciiTheme="minorEastAsia" w:hAnsiTheme="minorEastAsia" w:eastAsiaTheme="minorEastAsia"/>
          <w:color w:val="auto"/>
          <w:sz w:val="24"/>
          <w:highlight w:val="none"/>
        </w:rPr>
        <w:t>.3无论招标文件中是否要求，</w:t>
      </w:r>
      <w:r>
        <w:rPr>
          <w:rFonts w:hint="eastAsia" w:asciiTheme="minorEastAsia" w:hAnsiTheme="minorEastAsia" w:eastAsiaTheme="minorEastAsia"/>
          <w:color w:val="auto"/>
          <w:sz w:val="24"/>
          <w:highlight w:val="none"/>
        </w:rPr>
        <w:t>投标人所投货物及伴随的服务和工程均应符合国家强制性标准。</w:t>
      </w:r>
    </w:p>
    <w:bookmarkEnd w:id="33"/>
    <w:p w14:paraId="19445643">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7</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投标人与采购</w:t>
      </w:r>
      <w:r>
        <w:rPr>
          <w:rFonts w:hint="eastAsia" w:asciiTheme="minorEastAsia" w:hAnsiTheme="minorEastAsia" w:eastAsiaTheme="minorEastAsia"/>
          <w:color w:val="auto"/>
          <w:sz w:val="24"/>
          <w:highlight w:val="none"/>
        </w:rPr>
        <w:t>代理</w:t>
      </w:r>
      <w:r>
        <w:rPr>
          <w:rFonts w:asciiTheme="minorEastAsia" w:hAnsiTheme="minorEastAsia" w:eastAsiaTheme="minorEastAsia"/>
          <w:color w:val="auto"/>
          <w:sz w:val="24"/>
          <w:highlight w:val="none"/>
        </w:rPr>
        <w:t>机构之间与投标有关的所有往来通知、函件和投标文件均用中文表述。投标人随投标文件提供的证明文件和资料可以为其它语言，但必须附中文译文。翻译的中文资料与外文资料出现差异时，以中文为准。</w:t>
      </w:r>
    </w:p>
    <w:p w14:paraId="6DAE0E05">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7</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除</w:t>
      </w:r>
      <w:r>
        <w:rPr>
          <w:rFonts w:ascii="宋体" w:hAnsi="宋体" w:eastAsia="宋体"/>
          <w:color w:val="auto"/>
          <w:sz w:val="24"/>
          <w:highlight w:val="none"/>
        </w:rPr>
        <w:t>招标文件</w:t>
      </w:r>
      <w:r>
        <w:rPr>
          <w:rFonts w:asciiTheme="minorEastAsia" w:hAnsiTheme="minorEastAsia" w:eastAsiaTheme="minorEastAsia"/>
          <w:color w:val="auto"/>
          <w:sz w:val="24"/>
          <w:highlight w:val="none"/>
        </w:rPr>
        <w:t>中有特殊要求外，投标文件中所使用的计量单位，应采用中华人民共和国法定计量单位。</w:t>
      </w:r>
    </w:p>
    <w:p w14:paraId="495CD32C">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8</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投标文件构成</w:t>
      </w:r>
    </w:p>
    <w:p w14:paraId="091E147B">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8</w:t>
      </w:r>
      <w:r>
        <w:rPr>
          <w:rFonts w:asciiTheme="minorEastAsia" w:hAnsiTheme="minorEastAsia" w:eastAsiaTheme="minorEastAsia"/>
          <w:color w:val="auto"/>
          <w:sz w:val="24"/>
          <w:highlight w:val="none"/>
        </w:rPr>
        <w:t>.1</w:t>
      </w:r>
      <w:r>
        <w:rPr>
          <w:rFonts w:ascii="宋体" w:hAnsi="宋体" w:eastAsia="宋体"/>
          <w:color w:val="auto"/>
          <w:sz w:val="24"/>
          <w:highlight w:val="none"/>
        </w:rPr>
        <w:t>投标人</w:t>
      </w:r>
      <w:r>
        <w:rPr>
          <w:rFonts w:asciiTheme="minorEastAsia" w:hAnsiTheme="minorEastAsia" w:eastAsiaTheme="minorEastAsia"/>
          <w:color w:val="auto"/>
          <w:sz w:val="24"/>
          <w:highlight w:val="none"/>
        </w:rPr>
        <w:t>应完整地按招标文件提供的投标文件格式及要求</w:t>
      </w:r>
      <w:r>
        <w:rPr>
          <w:rFonts w:hint="eastAsia" w:asciiTheme="minorEastAsia" w:hAnsiTheme="minorEastAsia" w:eastAsiaTheme="minorEastAsia"/>
          <w:color w:val="auto"/>
          <w:sz w:val="24"/>
          <w:highlight w:val="none"/>
        </w:rPr>
        <w:t>编</w:t>
      </w:r>
      <w:r>
        <w:rPr>
          <w:rFonts w:asciiTheme="minorEastAsia" w:hAnsiTheme="minorEastAsia" w:eastAsiaTheme="minorEastAsia"/>
          <w:color w:val="auto"/>
          <w:sz w:val="24"/>
          <w:highlight w:val="none"/>
        </w:rPr>
        <w:t>写投标文件，</w:t>
      </w:r>
      <w:r>
        <w:rPr>
          <w:rFonts w:hint="eastAsia" w:asciiTheme="minorEastAsia" w:hAnsiTheme="minorEastAsia" w:eastAsiaTheme="minorEastAsia"/>
          <w:color w:val="auto"/>
          <w:sz w:val="24"/>
          <w:highlight w:val="none"/>
        </w:rPr>
        <w:t>具体内容详见本项目投标文件格式的相关内容。</w:t>
      </w:r>
    </w:p>
    <w:p w14:paraId="62046FD3">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8.2</w:t>
      </w:r>
      <w:r>
        <w:rPr>
          <w:rFonts w:ascii="宋体" w:hAnsi="宋体" w:eastAsia="宋体"/>
          <w:color w:val="auto"/>
          <w:sz w:val="24"/>
          <w:highlight w:val="none"/>
        </w:rPr>
        <w:t>投标人</w:t>
      </w:r>
      <w:r>
        <w:rPr>
          <w:rFonts w:asciiTheme="minorEastAsia" w:hAnsiTheme="minorEastAsia" w:eastAsiaTheme="minorEastAsia"/>
          <w:color w:val="auto"/>
          <w:sz w:val="24"/>
          <w:highlight w:val="none"/>
        </w:rPr>
        <w:t>应提交</w:t>
      </w:r>
      <w:r>
        <w:rPr>
          <w:rFonts w:hint="eastAsia" w:asciiTheme="minorEastAsia" w:hAnsiTheme="minorEastAsia" w:eastAsiaTheme="minorEastAsia"/>
          <w:color w:val="auto"/>
          <w:sz w:val="24"/>
          <w:highlight w:val="none"/>
        </w:rPr>
        <w:t>招标文件要求的</w:t>
      </w:r>
      <w:r>
        <w:rPr>
          <w:rFonts w:asciiTheme="minorEastAsia" w:hAnsiTheme="minorEastAsia" w:eastAsiaTheme="minorEastAsia"/>
          <w:color w:val="auto"/>
          <w:sz w:val="24"/>
          <w:highlight w:val="none"/>
        </w:rPr>
        <w:t>证明文件，证明其投标内容符合招标文件规定</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该证明文件是投标文件的一部分</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证明文件</w:t>
      </w:r>
      <w:r>
        <w:rPr>
          <w:rFonts w:hint="eastAsia" w:asciiTheme="minorEastAsia" w:hAnsiTheme="minorEastAsia" w:eastAsiaTheme="minorEastAsia"/>
          <w:color w:val="auto"/>
          <w:sz w:val="24"/>
          <w:highlight w:val="none"/>
        </w:rPr>
        <w:t>形式</w:t>
      </w:r>
      <w:r>
        <w:rPr>
          <w:rFonts w:asciiTheme="minorEastAsia" w:hAnsiTheme="minorEastAsia" w:eastAsiaTheme="minorEastAsia"/>
          <w:color w:val="auto"/>
          <w:sz w:val="24"/>
          <w:highlight w:val="none"/>
        </w:rPr>
        <w:t>可以是文字资料、图纸和数据</w:t>
      </w:r>
      <w:bookmarkStart w:id="34" w:name="_Hlk11703583"/>
      <w:r>
        <w:rPr>
          <w:rFonts w:hint="eastAsia" w:asciiTheme="minorEastAsia" w:hAnsiTheme="minorEastAsia" w:eastAsiaTheme="minorEastAsia"/>
          <w:color w:val="auto"/>
          <w:sz w:val="24"/>
          <w:highlight w:val="none"/>
        </w:rPr>
        <w:t>等。</w:t>
      </w:r>
    </w:p>
    <w:bookmarkEnd w:id="34"/>
    <w:p w14:paraId="5F42D3E2">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8.3</w:t>
      </w:r>
      <w:r>
        <w:rPr>
          <w:rFonts w:asciiTheme="minorEastAsia" w:hAnsiTheme="minorEastAsia" w:eastAsiaTheme="minorEastAsia"/>
          <w:color w:val="auto"/>
          <w:sz w:val="24"/>
          <w:highlight w:val="none"/>
        </w:rPr>
        <w:t>为保证</w:t>
      </w:r>
      <w:r>
        <w:rPr>
          <w:rFonts w:ascii="宋体" w:hAnsi="宋体" w:eastAsia="宋体"/>
          <w:color w:val="auto"/>
          <w:sz w:val="24"/>
          <w:highlight w:val="none"/>
        </w:rPr>
        <w:t>公平</w:t>
      </w:r>
      <w:r>
        <w:rPr>
          <w:rFonts w:asciiTheme="minorEastAsia" w:hAnsiTheme="minorEastAsia" w:eastAsiaTheme="minorEastAsia"/>
          <w:color w:val="auto"/>
          <w:sz w:val="24"/>
          <w:highlight w:val="none"/>
        </w:rPr>
        <w:t>公正，除非另有规定或说明，投标人对同一项目投标时，不得同时提供</w:t>
      </w:r>
      <w:r>
        <w:rPr>
          <w:rFonts w:hint="eastAsia" w:asciiTheme="minorEastAsia" w:hAnsiTheme="minorEastAsia" w:eastAsiaTheme="minorEastAsia"/>
          <w:color w:val="auto"/>
          <w:sz w:val="24"/>
          <w:highlight w:val="none"/>
        </w:rPr>
        <w:t>备选</w:t>
      </w:r>
      <w:r>
        <w:rPr>
          <w:rFonts w:asciiTheme="minorEastAsia" w:hAnsiTheme="minorEastAsia" w:eastAsiaTheme="minorEastAsia"/>
          <w:color w:val="auto"/>
          <w:sz w:val="24"/>
          <w:highlight w:val="none"/>
        </w:rPr>
        <w:t>投标方案。</w:t>
      </w:r>
    </w:p>
    <w:p w14:paraId="21C763F7">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9</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投标报价</w:t>
      </w:r>
    </w:p>
    <w:p w14:paraId="7952AC8E">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9</w:t>
      </w:r>
      <w:r>
        <w:rPr>
          <w:rFonts w:asciiTheme="minorEastAsia" w:hAnsiTheme="minorEastAsia" w:eastAsiaTheme="minorEastAsia"/>
          <w:color w:val="auto"/>
          <w:sz w:val="24"/>
          <w:highlight w:val="none"/>
        </w:rPr>
        <w:t>.1投标人的报价应当包括满足本次招标全部采购需求</w:t>
      </w:r>
      <w:r>
        <w:rPr>
          <w:rFonts w:hint="eastAsia" w:asciiTheme="minorEastAsia" w:hAnsiTheme="minorEastAsia" w:eastAsiaTheme="minorEastAsia"/>
          <w:color w:val="auto"/>
          <w:sz w:val="24"/>
          <w:highlight w:val="none"/>
        </w:rPr>
        <w:t>。除招标文件另有规定外，所有投标均应以人民币报价。投标人的投标报价应遵守《中华人民共和国价格法》。</w:t>
      </w:r>
    </w:p>
    <w:p w14:paraId="73B2BBC5">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9</w:t>
      </w:r>
      <w:r>
        <w:rPr>
          <w:rFonts w:asciiTheme="minorEastAsia" w:hAnsiTheme="minorEastAsia" w:eastAsiaTheme="minorEastAsia"/>
          <w:color w:val="auto"/>
          <w:sz w:val="24"/>
          <w:highlight w:val="none"/>
        </w:rPr>
        <w:t>.2投标人报价超过招标文件规定的预算金额或者分项、分包最高限价，其投标将被认定为</w:t>
      </w:r>
      <w:r>
        <w:rPr>
          <w:rFonts w:asciiTheme="minorEastAsia" w:hAnsiTheme="minorEastAsia" w:eastAsiaTheme="minorEastAsia"/>
          <w:b/>
          <w:bCs/>
          <w:color w:val="auto"/>
          <w:sz w:val="24"/>
          <w:highlight w:val="none"/>
        </w:rPr>
        <w:t>投标无效</w:t>
      </w:r>
      <w:r>
        <w:rPr>
          <w:rFonts w:asciiTheme="minorEastAsia" w:hAnsiTheme="minorEastAsia" w:eastAsiaTheme="minorEastAsia"/>
          <w:color w:val="auto"/>
          <w:sz w:val="24"/>
          <w:highlight w:val="none"/>
        </w:rPr>
        <w:t>。</w:t>
      </w:r>
    </w:p>
    <w:p w14:paraId="2ADA5BE5">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9</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3投标报价</w:t>
      </w:r>
      <w:r>
        <w:rPr>
          <w:rFonts w:asciiTheme="minorEastAsia" w:hAnsiTheme="minorEastAsia" w:eastAsiaTheme="minorEastAsia"/>
          <w:color w:val="auto"/>
          <w:sz w:val="24"/>
          <w:highlight w:val="none"/>
        </w:rPr>
        <w:t>在合同履行过程中是固定不变的，不得以任何理由予以变更。任何包含价格调整要求的投标，其投标将被认定为</w:t>
      </w:r>
      <w:r>
        <w:rPr>
          <w:rFonts w:asciiTheme="minorEastAsia" w:hAnsiTheme="minorEastAsia" w:eastAsiaTheme="minorEastAsia"/>
          <w:b/>
          <w:color w:val="auto"/>
          <w:sz w:val="24"/>
          <w:highlight w:val="none"/>
        </w:rPr>
        <w:t>投标无效</w:t>
      </w:r>
      <w:r>
        <w:rPr>
          <w:rFonts w:asciiTheme="minorEastAsia" w:hAnsiTheme="minorEastAsia" w:eastAsiaTheme="minorEastAsia"/>
          <w:color w:val="auto"/>
          <w:sz w:val="24"/>
          <w:highlight w:val="none"/>
        </w:rPr>
        <w:t>。</w:t>
      </w:r>
    </w:p>
    <w:p w14:paraId="16042641">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9</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采购人不接受具有附加条件的报价。</w:t>
      </w:r>
    </w:p>
    <w:p w14:paraId="383C38B9">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10</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投标保证金</w:t>
      </w:r>
    </w:p>
    <w:p w14:paraId="7958D204">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10.1本项目不收取投标保证金。</w:t>
      </w:r>
    </w:p>
    <w:p w14:paraId="5F7DE839">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投标有效期</w:t>
      </w:r>
    </w:p>
    <w:p w14:paraId="7C42CDD0">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11.1投标有效期为从投标截止之日算起的日历天数，投标有效期详见</w:t>
      </w:r>
      <w:r>
        <w:rPr>
          <w:rFonts w:hint="eastAsia" w:asciiTheme="minorEastAsia" w:hAnsiTheme="minorEastAsia" w:eastAsiaTheme="minorEastAsia"/>
          <w:color w:val="auto"/>
          <w:sz w:val="24"/>
          <w:highlight w:val="none"/>
          <w:u w:val="single"/>
        </w:rPr>
        <w:t>投标人须知前附表</w:t>
      </w:r>
      <w:r>
        <w:rPr>
          <w:rFonts w:hint="eastAsia" w:asciiTheme="minorEastAsia" w:hAnsiTheme="minorEastAsia" w:eastAsiaTheme="minorEastAsia"/>
          <w:color w:val="auto"/>
          <w:sz w:val="24"/>
          <w:highlight w:val="none"/>
        </w:rPr>
        <w:t>。</w:t>
      </w:r>
    </w:p>
    <w:p w14:paraId="29DE8F1D">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11.2在投标有效期内，投标人的投标保持有效，投标人不得要求撤销或修改其投标文件。投标有效期不满足要求的投标，其投标将被认定为</w:t>
      </w:r>
      <w:r>
        <w:rPr>
          <w:rFonts w:hint="eastAsia" w:asciiTheme="minorEastAsia" w:hAnsiTheme="minorEastAsia" w:eastAsiaTheme="minorEastAsia"/>
          <w:b/>
          <w:color w:val="auto"/>
          <w:sz w:val="24"/>
          <w:highlight w:val="none"/>
        </w:rPr>
        <w:t>投标无效</w:t>
      </w:r>
      <w:r>
        <w:rPr>
          <w:rFonts w:hint="eastAsia" w:asciiTheme="minorEastAsia" w:hAnsiTheme="minorEastAsia" w:eastAsiaTheme="minorEastAsia"/>
          <w:color w:val="auto"/>
          <w:sz w:val="24"/>
          <w:highlight w:val="none"/>
        </w:rPr>
        <w:t>。</w:t>
      </w:r>
    </w:p>
    <w:p w14:paraId="5A250A66">
      <w:pPr>
        <w:spacing w:line="360" w:lineRule="auto"/>
        <w:ind w:firstLine="435"/>
        <w:rPr>
          <w:rFonts w:hint="eastAsia"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rPr>
        <w:t>因特殊原因，采购人或采购代理机构可在原投标有效期截止之前，要求投标人延长投标文件的有效期。接受该要求的投标人将不会被要求和允许修正其投标。投标人也可以拒绝延长投标有效期的要求，且不承担任何责任。上述要求和答复都应以书面形式提交。</w:t>
      </w:r>
    </w:p>
    <w:p w14:paraId="5A0CD41A">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12</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投标文件的递交、修改与撤回</w:t>
      </w:r>
    </w:p>
    <w:p w14:paraId="3931DC9C">
      <w:pPr>
        <w:spacing w:line="360" w:lineRule="auto"/>
        <w:ind w:firstLine="435"/>
        <w:rPr>
          <w:rFonts w:hint="eastAsia"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2.1投标人应当在招标公告规定的投标截止时间前</w:t>
      </w:r>
      <w:r>
        <w:rPr>
          <w:rFonts w:asciiTheme="minorEastAsia" w:hAnsiTheme="minorEastAsia" w:eastAsiaTheme="minorEastAsia"/>
          <w:color w:val="auto"/>
          <w:sz w:val="24"/>
          <w:highlight w:val="none"/>
        </w:rPr>
        <w:t>，将加密的投标文件</w:t>
      </w:r>
      <w:r>
        <w:rPr>
          <w:rFonts w:hint="eastAsia" w:asciiTheme="minorEastAsia" w:hAnsiTheme="minorEastAsia" w:eastAsiaTheme="minorEastAsia"/>
          <w:color w:val="auto"/>
          <w:sz w:val="24"/>
          <w:highlight w:val="none"/>
        </w:rPr>
        <w:t>在电子交易系统</w:t>
      </w:r>
      <w:r>
        <w:rPr>
          <w:rFonts w:asciiTheme="minorEastAsia" w:hAnsiTheme="minorEastAsia" w:eastAsiaTheme="minorEastAsia"/>
          <w:color w:val="auto"/>
          <w:sz w:val="24"/>
          <w:highlight w:val="none"/>
        </w:rPr>
        <w:t>上传。</w:t>
      </w:r>
    </w:p>
    <w:p w14:paraId="48E92D7B">
      <w:pPr>
        <w:spacing w:line="360" w:lineRule="auto"/>
        <w:ind w:firstLine="435"/>
        <w:rPr>
          <w:rFonts w:hint="eastAsia"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2.2投标人应当在投标截止时间前完成投标文件的传输递交（以接收到电子签收凭证为准），并可以补充、修改或者撤回投标文件。投标截止时间前未完成投标文件传输的，视为撤回投标文件。未按规定加密或投标截止时间后送达的投标文件，电子交易系统应当拒收。</w:t>
      </w:r>
    </w:p>
    <w:p w14:paraId="3482953C">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13</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开标</w:t>
      </w:r>
    </w:p>
    <w:p w14:paraId="10A3F890">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13</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开标时，</w:t>
      </w:r>
      <w:r>
        <w:rPr>
          <w:rFonts w:ascii="宋体" w:hAnsi="宋体" w:eastAsia="宋体" w:cs="宋体"/>
          <w:color w:val="auto"/>
          <w:sz w:val="24"/>
          <w:szCs w:val="24"/>
          <w:highlight w:val="none"/>
        </w:rPr>
        <w:t>各投标人应在</w:t>
      </w:r>
      <w:r>
        <w:rPr>
          <w:rFonts w:ascii="宋体" w:hAnsi="宋体" w:eastAsia="宋体" w:cs="宋体"/>
          <w:color w:val="auto"/>
          <w:sz w:val="24"/>
          <w:szCs w:val="24"/>
          <w:highlight w:val="none"/>
          <w:u w:val="single"/>
        </w:rPr>
        <w:t>投标人须知前附表</w:t>
      </w:r>
      <w:r>
        <w:rPr>
          <w:rFonts w:ascii="宋体" w:hAnsi="宋体" w:eastAsia="宋体" w:cs="宋体"/>
          <w:color w:val="auto"/>
          <w:sz w:val="24"/>
          <w:szCs w:val="24"/>
          <w:highlight w:val="none"/>
        </w:rPr>
        <w:t>规定的解密时间前</w:t>
      </w:r>
      <w:r>
        <w:rPr>
          <w:rFonts w:asciiTheme="minorEastAsia" w:hAnsiTheme="minorEastAsia" w:eastAsiaTheme="minorEastAsia"/>
          <w:color w:val="auto"/>
          <w:sz w:val="24"/>
          <w:highlight w:val="none"/>
        </w:rPr>
        <w:t>对</w:t>
      </w:r>
      <w:r>
        <w:rPr>
          <w:rFonts w:hint="eastAsia" w:ascii="宋体" w:hAnsi="宋体" w:eastAsia="宋体" w:cs="宋体"/>
          <w:color w:val="auto"/>
          <w:sz w:val="24"/>
          <w:szCs w:val="24"/>
          <w:highlight w:val="none"/>
        </w:rPr>
        <w:t>其</w:t>
      </w:r>
      <w:r>
        <w:rPr>
          <w:rFonts w:asciiTheme="minorEastAsia" w:hAnsiTheme="minorEastAsia" w:eastAsiaTheme="minorEastAsia"/>
          <w:color w:val="auto"/>
          <w:sz w:val="24"/>
          <w:highlight w:val="none"/>
        </w:rPr>
        <w:t>投标文件</w:t>
      </w:r>
      <w:r>
        <w:rPr>
          <w:rFonts w:hint="eastAsia" w:asciiTheme="minorEastAsia" w:hAnsiTheme="minorEastAsia" w:eastAsiaTheme="minorEastAsia"/>
          <w:color w:val="auto"/>
          <w:sz w:val="24"/>
          <w:highlight w:val="none"/>
        </w:rPr>
        <w:t>进行</w:t>
      </w:r>
      <w:r>
        <w:rPr>
          <w:rFonts w:asciiTheme="minorEastAsia" w:hAnsiTheme="minorEastAsia" w:eastAsiaTheme="minorEastAsia"/>
          <w:color w:val="auto"/>
          <w:sz w:val="24"/>
          <w:highlight w:val="none"/>
        </w:rPr>
        <w:t>解密。</w:t>
      </w:r>
    </w:p>
    <w:p w14:paraId="7D837703">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13</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开标时，采购代理机构将通过网上开标系统公布</w:t>
      </w:r>
      <w:r>
        <w:rPr>
          <w:rFonts w:hint="eastAsia" w:asciiTheme="minorEastAsia" w:hAnsiTheme="minorEastAsia" w:eastAsiaTheme="minorEastAsia"/>
          <w:color w:val="auto"/>
          <w:sz w:val="24"/>
          <w:highlight w:val="none"/>
        </w:rPr>
        <w:t>开标结果，公布内容包括投标人名称、投标价格及招标文件规定的内容。</w:t>
      </w:r>
    </w:p>
    <w:p w14:paraId="3779B1F7">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13.3采购人或采购代理机构将对开标过程进行记录，由参加开标的各投标人代表和相关工作人员签字确认，并存档备查。</w:t>
      </w:r>
    </w:p>
    <w:p w14:paraId="52AD1E95">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投标人未派代表参加开标的，视同投标人认可开标结果。</w:t>
      </w:r>
    </w:p>
    <w:p w14:paraId="567B0967">
      <w:pPr>
        <w:spacing w:line="360" w:lineRule="auto"/>
        <w:ind w:firstLine="435"/>
        <w:rPr>
          <w:rFonts w:hint="eastAsia" w:asciiTheme="minorEastAsia" w:hAnsiTheme="minorEastAsia" w:eastAsiaTheme="minorEastAsia"/>
          <w:color w:val="auto"/>
          <w:sz w:val="28"/>
          <w:highlight w:val="none"/>
        </w:rPr>
      </w:pPr>
      <w:r>
        <w:rPr>
          <w:rFonts w:hint="eastAsia" w:asciiTheme="minorEastAsia" w:hAnsiTheme="minorEastAsia" w:eastAsiaTheme="minorEastAsia"/>
          <w:color w:val="auto"/>
          <w:sz w:val="24"/>
          <w:highlight w:val="none"/>
        </w:rPr>
        <w:t>13.4投标人代表对开标过程和开标记录有疑义，以及认为采购人、采购代理机构相关工作人员有需要回避的情形的，应当场提出询问或者回避申请。</w:t>
      </w:r>
    </w:p>
    <w:p w14:paraId="49249500">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14</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资格审查及组建评标委员会</w:t>
      </w:r>
    </w:p>
    <w:p w14:paraId="1B750003">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14.1采购人或采购代理机构依据法律法规和招标文件中规定的内</w:t>
      </w:r>
      <w:r>
        <w:rPr>
          <w:rFonts w:asciiTheme="minorEastAsia" w:hAnsiTheme="minorEastAsia" w:eastAsiaTheme="minorEastAsia"/>
          <w:color w:val="auto"/>
          <w:sz w:val="24"/>
          <w:highlight w:val="none"/>
        </w:rPr>
        <w:t>容</w:t>
      </w:r>
      <w:r>
        <w:rPr>
          <w:rFonts w:hint="eastAsia" w:asciiTheme="minorEastAsia" w:hAnsiTheme="minorEastAsia" w:eastAsiaTheme="minorEastAsia"/>
          <w:color w:val="auto"/>
          <w:sz w:val="24"/>
          <w:highlight w:val="none"/>
        </w:rPr>
        <w:t>，对投标人资格进行审查，未</w:t>
      </w:r>
      <w:r>
        <w:rPr>
          <w:rFonts w:asciiTheme="minorEastAsia" w:hAnsiTheme="minorEastAsia" w:eastAsiaTheme="minorEastAsia"/>
          <w:color w:val="auto"/>
          <w:sz w:val="24"/>
          <w:highlight w:val="none"/>
        </w:rPr>
        <w:t>通过资格审查的投标人</w:t>
      </w:r>
      <w:r>
        <w:rPr>
          <w:rFonts w:hint="eastAsia" w:asciiTheme="minorEastAsia" w:hAnsiTheme="minorEastAsia" w:eastAsiaTheme="minorEastAsia"/>
          <w:color w:val="auto"/>
          <w:sz w:val="24"/>
          <w:highlight w:val="none"/>
        </w:rPr>
        <w:t>不</w:t>
      </w:r>
      <w:r>
        <w:rPr>
          <w:rFonts w:asciiTheme="minorEastAsia" w:hAnsiTheme="minorEastAsia" w:eastAsiaTheme="minorEastAsia"/>
          <w:color w:val="auto"/>
          <w:sz w:val="24"/>
          <w:highlight w:val="none"/>
        </w:rPr>
        <w:t>进入评标</w:t>
      </w:r>
      <w:r>
        <w:rPr>
          <w:rFonts w:hint="eastAsia" w:asciiTheme="minorEastAsia" w:hAnsiTheme="minorEastAsia" w:eastAsiaTheme="minorEastAsia"/>
          <w:color w:val="auto"/>
          <w:sz w:val="24"/>
          <w:highlight w:val="none"/>
        </w:rPr>
        <w:t>。</w:t>
      </w:r>
    </w:p>
    <w:p w14:paraId="728E32DA">
      <w:pPr>
        <w:spacing w:line="360" w:lineRule="auto"/>
        <w:ind w:firstLine="435"/>
        <w:rPr>
          <w:rFonts w:hint="eastAsia" w:ascii="宋体" w:hAnsi="宋体" w:eastAsia="宋体" w:cs="宋体"/>
          <w:color w:val="auto"/>
          <w:sz w:val="24"/>
          <w:szCs w:val="24"/>
          <w:highlight w:val="none"/>
        </w:rPr>
      </w:pPr>
      <w:bookmarkStart w:id="35" w:name="_Hlk24663244"/>
      <w:r>
        <w:rPr>
          <w:rFonts w:hint="eastAsia" w:ascii="宋体" w:hAnsi="宋体" w:eastAsia="宋体" w:cs="宋体"/>
          <w:color w:val="auto"/>
          <w:sz w:val="24"/>
          <w:szCs w:val="24"/>
          <w:highlight w:val="none"/>
        </w:rPr>
        <w:t>14.2采购人或采购代理机构将在投标截止时间后至评审结束前通过“信用中国”网站(www.creditchina.gov.cn)、中国政府采购网(www.ccgp.gov.cn)查询相关投标人信用记录，并对投标人信用记录进行甄别，对列入“信用中国”网站(www.creditchina.gov.cn)失信被执行人名单、重大税收违法案件当事人名单、中国政府采购网(www.ccgp.gov.cn)政府采购严重违法失信行为记录名单及其他不符合《中华人民共和国政府采购法》第二十二条规定条件的供应商，其投标将被认定为</w:t>
      </w:r>
      <w:r>
        <w:rPr>
          <w:rFonts w:hint="eastAsia" w:ascii="宋体" w:hAnsi="宋体" w:eastAsia="宋体" w:cs="宋体"/>
          <w:b/>
          <w:color w:val="auto"/>
          <w:sz w:val="24"/>
          <w:szCs w:val="24"/>
          <w:highlight w:val="none"/>
        </w:rPr>
        <w:t>投标无效</w:t>
      </w:r>
      <w:r>
        <w:rPr>
          <w:rFonts w:hint="eastAsia" w:ascii="宋体" w:hAnsi="宋体" w:eastAsia="宋体" w:cs="宋体"/>
          <w:color w:val="auto"/>
          <w:sz w:val="24"/>
          <w:szCs w:val="24"/>
          <w:highlight w:val="none"/>
        </w:rPr>
        <w:t>。</w:t>
      </w:r>
    </w:p>
    <w:p w14:paraId="5441C523">
      <w:pPr>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以联合体形式参加投标的，联合体成员存在以上不良信用记录的，联合体投标将被认定为</w:t>
      </w:r>
      <w:r>
        <w:rPr>
          <w:rFonts w:hint="eastAsia" w:ascii="宋体" w:hAnsi="宋体" w:eastAsia="宋体" w:cs="宋体"/>
          <w:b/>
          <w:color w:val="auto"/>
          <w:sz w:val="24"/>
          <w:szCs w:val="24"/>
          <w:highlight w:val="none"/>
        </w:rPr>
        <w:t>投标无效</w:t>
      </w:r>
      <w:r>
        <w:rPr>
          <w:rFonts w:hint="eastAsia" w:ascii="宋体" w:hAnsi="宋体" w:eastAsia="宋体" w:cs="宋体"/>
          <w:color w:val="auto"/>
          <w:sz w:val="24"/>
          <w:szCs w:val="24"/>
          <w:highlight w:val="none"/>
        </w:rPr>
        <w:t>。</w:t>
      </w:r>
    </w:p>
    <w:p w14:paraId="7A34B7F0">
      <w:pPr>
        <w:spacing w:line="360" w:lineRule="auto"/>
        <w:ind w:firstLine="435"/>
        <w:rPr>
          <w:rFonts w:hint="eastAsia" w:asciiTheme="minorEastAsia" w:hAnsiTheme="minorEastAsia" w:eastAsiaTheme="minorEastAsia"/>
          <w:color w:val="auto"/>
          <w:sz w:val="24"/>
          <w:highlight w:val="none"/>
        </w:rPr>
      </w:pPr>
      <w:r>
        <w:rPr>
          <w:rFonts w:hint="eastAsia" w:ascii="宋体" w:hAnsi="宋体" w:eastAsia="宋体" w:cs="宋体"/>
          <w:color w:val="auto"/>
          <w:sz w:val="24"/>
          <w:szCs w:val="24"/>
          <w:highlight w:val="none"/>
        </w:rPr>
        <w:t>以上信用查询记录，采购人或采购代理机构将下载查询结果页面后与其他采购文件一并保存。投标人不良信用记录以采购人或采购代理机构查询结果为准。在本招标文件规定的查询时间之外，网站信息发生的任何变更均不作为资格审查依据。投标人自行提供的与网站信息不一致的其他证明材料亦不作为资格审查依据。</w:t>
      </w:r>
    </w:p>
    <w:bookmarkEnd w:id="35"/>
    <w:p w14:paraId="5381656D">
      <w:pPr>
        <w:spacing w:line="360" w:lineRule="auto"/>
        <w:ind w:firstLine="435"/>
        <w:rPr>
          <w:rFonts w:hint="eastAsia" w:asciiTheme="minorEastAsia" w:hAnsiTheme="minorEastAsia" w:eastAsiaTheme="minorEastAsia"/>
          <w:b/>
          <w:color w:val="auto"/>
          <w:sz w:val="24"/>
          <w:highlight w:val="none"/>
        </w:rPr>
      </w:pPr>
      <w:r>
        <w:rPr>
          <w:rFonts w:hint="eastAsia" w:asciiTheme="minorEastAsia" w:hAnsiTheme="minorEastAsia" w:eastAsiaTheme="minorEastAsia"/>
          <w:color w:val="auto"/>
          <w:sz w:val="24"/>
          <w:highlight w:val="none"/>
        </w:rPr>
        <w:t>14.3按照</w:t>
      </w:r>
      <w:r>
        <w:rPr>
          <w:rFonts w:hint="eastAsia" w:ascii="宋体" w:hAnsi="宋体" w:eastAsia="宋体"/>
          <w:color w:val="auto"/>
          <w:sz w:val="24"/>
          <w:highlight w:val="none"/>
        </w:rPr>
        <w:t>《</w:t>
      </w:r>
      <w:r>
        <w:rPr>
          <w:rFonts w:ascii="宋体" w:hAnsi="宋体" w:eastAsia="宋体"/>
          <w:color w:val="auto"/>
          <w:sz w:val="24"/>
          <w:highlight w:val="none"/>
        </w:rPr>
        <w:t>中华人民共和国政府采购法》</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《中华人民共和国政府采购</w:t>
      </w:r>
      <w:r>
        <w:rPr>
          <w:rFonts w:hint="eastAsia" w:asciiTheme="minorEastAsia" w:hAnsiTheme="minorEastAsia" w:eastAsiaTheme="minorEastAsia"/>
          <w:color w:val="auto"/>
          <w:sz w:val="24"/>
          <w:highlight w:val="none"/>
        </w:rPr>
        <w:t>法</w:t>
      </w:r>
      <w:r>
        <w:rPr>
          <w:rFonts w:asciiTheme="minorEastAsia" w:hAnsiTheme="minorEastAsia" w:eastAsiaTheme="minorEastAsia"/>
          <w:color w:val="auto"/>
          <w:sz w:val="24"/>
          <w:highlight w:val="none"/>
        </w:rPr>
        <w:t>实施条例》</w:t>
      </w:r>
      <w:r>
        <w:rPr>
          <w:rFonts w:hint="eastAsia" w:asciiTheme="minorEastAsia" w:hAnsiTheme="minorEastAsia" w:eastAsiaTheme="minorEastAsia"/>
          <w:color w:val="auto"/>
          <w:sz w:val="24"/>
          <w:highlight w:val="none"/>
        </w:rPr>
        <w:t>及本项目本级</w:t>
      </w:r>
      <w:r>
        <w:rPr>
          <w:rFonts w:asciiTheme="minorEastAsia" w:hAnsiTheme="minorEastAsia" w:eastAsiaTheme="minorEastAsia"/>
          <w:color w:val="auto"/>
          <w:sz w:val="24"/>
          <w:highlight w:val="none"/>
        </w:rPr>
        <w:t>和上级财政部门</w:t>
      </w:r>
      <w:r>
        <w:rPr>
          <w:rFonts w:hint="eastAsia" w:asciiTheme="minorEastAsia" w:hAnsiTheme="minorEastAsia" w:eastAsiaTheme="minorEastAsia"/>
          <w:color w:val="auto"/>
          <w:sz w:val="24"/>
          <w:highlight w:val="none"/>
        </w:rPr>
        <w:t>、政府采购监督管理部门的有关规定依法组建的</w:t>
      </w:r>
      <w:r>
        <w:rPr>
          <w:rFonts w:asciiTheme="minorEastAsia" w:hAnsiTheme="minorEastAsia" w:eastAsiaTheme="minorEastAsia"/>
          <w:color w:val="auto"/>
          <w:sz w:val="24"/>
          <w:highlight w:val="none"/>
        </w:rPr>
        <w:t>评标委员会</w:t>
      </w:r>
      <w:r>
        <w:rPr>
          <w:rFonts w:hint="eastAsia" w:asciiTheme="minorEastAsia" w:hAnsiTheme="minorEastAsia" w:eastAsiaTheme="minorEastAsia"/>
          <w:color w:val="auto"/>
          <w:sz w:val="24"/>
          <w:highlight w:val="none"/>
        </w:rPr>
        <w:t>，负责本项目评标工作。</w:t>
      </w:r>
    </w:p>
    <w:p w14:paraId="261CEE86">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15</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投标文件符合性审查与澄清</w:t>
      </w:r>
    </w:p>
    <w:p w14:paraId="3EF7620C">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15</w:t>
      </w:r>
      <w:r>
        <w:rPr>
          <w:rFonts w:asciiTheme="minorEastAsia" w:hAnsiTheme="minorEastAsia" w:eastAsiaTheme="minorEastAsia"/>
          <w:color w:val="auto"/>
          <w:sz w:val="24"/>
          <w:highlight w:val="none"/>
        </w:rPr>
        <w:t>.1符合性审查是指依据招标文件的规定，从投标文件的有效性和完整性对招标文件的响应程度</w:t>
      </w:r>
      <w:r>
        <w:rPr>
          <w:rFonts w:ascii="宋体" w:hAnsi="宋体" w:eastAsia="宋体"/>
          <w:color w:val="auto"/>
          <w:sz w:val="24"/>
          <w:highlight w:val="none"/>
        </w:rPr>
        <w:t>进行</w:t>
      </w:r>
      <w:r>
        <w:rPr>
          <w:rFonts w:asciiTheme="minorEastAsia" w:hAnsiTheme="minorEastAsia" w:eastAsiaTheme="minorEastAsia"/>
          <w:color w:val="auto"/>
          <w:sz w:val="24"/>
          <w:highlight w:val="none"/>
        </w:rPr>
        <w:t>审查，以确定是否对招标文件的实质性要求做出响应。</w:t>
      </w:r>
    </w:p>
    <w:p w14:paraId="33793842">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15</w:t>
      </w:r>
      <w:r>
        <w:rPr>
          <w:rFonts w:asciiTheme="minorEastAsia" w:hAnsiTheme="minorEastAsia" w:eastAsiaTheme="minorEastAsia"/>
          <w:color w:val="auto"/>
          <w:sz w:val="24"/>
          <w:highlight w:val="none"/>
        </w:rPr>
        <w:t>.2如一个分包内只有一种产品，不同投标人所投产品为同一品牌的，按如下方式处理：</w:t>
      </w:r>
    </w:p>
    <w:p w14:paraId="4C7003E8">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15</w:t>
      </w:r>
      <w:r>
        <w:rPr>
          <w:rFonts w:ascii="宋体" w:hAnsi="宋体" w:eastAsia="宋体"/>
          <w:color w:val="auto"/>
          <w:sz w:val="24"/>
          <w:highlight w:val="none"/>
        </w:rPr>
        <w:t>.2.1如本项目使用最低评标价法，提供相同品牌产品的不同投标人以其中通过资格审查、符合性审查</w:t>
      </w:r>
      <w:r>
        <w:rPr>
          <w:rFonts w:hint="eastAsia" w:ascii="宋体" w:hAnsi="宋体" w:eastAsia="宋体"/>
          <w:color w:val="auto"/>
          <w:sz w:val="24"/>
          <w:highlight w:val="none"/>
        </w:rPr>
        <w:t>、</w:t>
      </w:r>
      <w:r>
        <w:rPr>
          <w:rFonts w:hint="eastAsia" w:ascii="宋体" w:hAnsi="宋体" w:eastAsia="宋体" w:cs="Times New Roman"/>
          <w:color w:val="auto"/>
          <w:sz w:val="24"/>
          <w:highlight w:val="none"/>
        </w:rPr>
        <w:t>异常低价投标审查</w:t>
      </w:r>
      <w:r>
        <w:rPr>
          <w:rFonts w:ascii="宋体" w:hAnsi="宋体" w:eastAsia="宋体"/>
          <w:color w:val="auto"/>
          <w:sz w:val="24"/>
          <w:highlight w:val="none"/>
        </w:rPr>
        <w:t>且报价最低的参加评标；报价相同的，由采购人或者采购人委托评标委员会按照招标文件中评标</w:t>
      </w:r>
      <w:r>
        <w:rPr>
          <w:rFonts w:hint="eastAsia" w:ascii="宋体" w:hAnsi="宋体" w:eastAsia="宋体"/>
          <w:color w:val="auto"/>
          <w:sz w:val="24"/>
          <w:highlight w:val="none"/>
        </w:rPr>
        <w:t>方</w:t>
      </w:r>
      <w:r>
        <w:rPr>
          <w:rFonts w:ascii="宋体" w:hAnsi="宋体" w:eastAsia="宋体"/>
          <w:color w:val="auto"/>
          <w:sz w:val="24"/>
          <w:highlight w:val="none"/>
        </w:rPr>
        <w:t>法</w:t>
      </w:r>
      <w:r>
        <w:rPr>
          <w:rFonts w:hint="eastAsia" w:ascii="宋体" w:hAnsi="宋体" w:eastAsia="宋体"/>
          <w:color w:val="auto"/>
          <w:sz w:val="24"/>
          <w:highlight w:val="none"/>
        </w:rPr>
        <w:t>和标准</w:t>
      </w:r>
      <w:r>
        <w:rPr>
          <w:rFonts w:ascii="宋体" w:hAnsi="宋体" w:eastAsia="宋体"/>
          <w:color w:val="auto"/>
          <w:sz w:val="24"/>
          <w:highlight w:val="none"/>
        </w:rPr>
        <w:t>规定的方式确定一个参加评标的投标人；未规定的采取随机抽取方式确定，其他投标将被认定为</w:t>
      </w:r>
      <w:r>
        <w:rPr>
          <w:rFonts w:ascii="宋体" w:hAnsi="宋体" w:eastAsia="宋体"/>
          <w:b/>
          <w:color w:val="auto"/>
          <w:sz w:val="24"/>
          <w:highlight w:val="none"/>
        </w:rPr>
        <w:t>投标无效</w:t>
      </w:r>
      <w:r>
        <w:rPr>
          <w:rFonts w:ascii="宋体" w:hAnsi="宋体" w:eastAsia="宋体"/>
          <w:color w:val="auto"/>
          <w:sz w:val="24"/>
          <w:highlight w:val="none"/>
        </w:rPr>
        <w:t>。</w:t>
      </w:r>
    </w:p>
    <w:p w14:paraId="0052C383">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15</w:t>
      </w:r>
      <w:r>
        <w:rPr>
          <w:rFonts w:ascii="宋体" w:hAnsi="宋体" w:eastAsia="宋体"/>
          <w:color w:val="auto"/>
          <w:sz w:val="24"/>
          <w:highlight w:val="none"/>
        </w:rPr>
        <w:t>.2.2如本项目使用综合评分法，提供相同品牌产品且通过资格审查、符合性审查</w:t>
      </w:r>
      <w:r>
        <w:rPr>
          <w:rFonts w:hint="eastAsia" w:ascii="宋体" w:hAnsi="宋体" w:eastAsia="宋体"/>
          <w:color w:val="auto"/>
          <w:sz w:val="24"/>
          <w:highlight w:val="none"/>
        </w:rPr>
        <w:t>、</w:t>
      </w:r>
      <w:r>
        <w:rPr>
          <w:rFonts w:hint="eastAsia" w:ascii="宋体" w:hAnsi="宋体" w:eastAsia="宋体" w:cs="Times New Roman"/>
          <w:color w:val="auto"/>
          <w:sz w:val="24"/>
          <w:highlight w:val="none"/>
        </w:rPr>
        <w:t>异常低价投标审查</w:t>
      </w:r>
      <w:r>
        <w:rPr>
          <w:rFonts w:ascii="宋体" w:hAnsi="宋体" w:eastAsia="宋体"/>
          <w:color w:val="auto"/>
          <w:sz w:val="24"/>
          <w:highlight w:val="none"/>
        </w:rPr>
        <w:t>的不同投标人，按一家投标人计算，评审后得分最高的同品牌投标人获得中标人推荐资格；评审得分相同的，由采购人或者采购人委托评标委员会按照招标文件中评标</w:t>
      </w:r>
      <w:r>
        <w:rPr>
          <w:rFonts w:hint="eastAsia" w:ascii="宋体" w:hAnsi="宋体" w:eastAsia="宋体"/>
          <w:color w:val="auto"/>
          <w:sz w:val="24"/>
          <w:highlight w:val="none"/>
        </w:rPr>
        <w:t>方</w:t>
      </w:r>
      <w:r>
        <w:rPr>
          <w:rFonts w:ascii="宋体" w:hAnsi="宋体" w:eastAsia="宋体"/>
          <w:color w:val="auto"/>
          <w:sz w:val="24"/>
          <w:highlight w:val="none"/>
        </w:rPr>
        <w:t>法</w:t>
      </w:r>
      <w:r>
        <w:rPr>
          <w:rFonts w:hint="eastAsia" w:ascii="宋体" w:hAnsi="宋体" w:eastAsia="宋体"/>
          <w:color w:val="auto"/>
          <w:sz w:val="24"/>
          <w:highlight w:val="none"/>
        </w:rPr>
        <w:t>和标准</w:t>
      </w:r>
      <w:r>
        <w:rPr>
          <w:rFonts w:ascii="宋体" w:hAnsi="宋体" w:eastAsia="宋体"/>
          <w:color w:val="auto"/>
          <w:sz w:val="24"/>
          <w:highlight w:val="none"/>
        </w:rPr>
        <w:t>规定的方式确定一个投标人获得中标人推荐资格；未规定的采取随机抽取方式确定，其他同品牌投标人不作为中标候选人。</w:t>
      </w:r>
    </w:p>
    <w:p w14:paraId="02231F1B">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15</w:t>
      </w:r>
      <w:r>
        <w:rPr>
          <w:rFonts w:asciiTheme="minorEastAsia" w:hAnsiTheme="minorEastAsia" w:eastAsiaTheme="minorEastAsia"/>
          <w:color w:val="auto"/>
          <w:sz w:val="24"/>
          <w:highlight w:val="none"/>
        </w:rPr>
        <w:t>.3如一个分包内包含多种产品的，采购人或采购代理机构将在</w:t>
      </w:r>
      <w:r>
        <w:rPr>
          <w:rFonts w:hint="eastAsia" w:asciiTheme="minorEastAsia" w:hAnsiTheme="minorEastAsia" w:eastAsiaTheme="minorEastAsia"/>
          <w:color w:val="auto"/>
          <w:sz w:val="24"/>
          <w:highlight w:val="none"/>
        </w:rPr>
        <w:t>采购需求</w:t>
      </w:r>
      <w:r>
        <w:rPr>
          <w:rFonts w:asciiTheme="minorEastAsia" w:hAnsiTheme="minorEastAsia" w:eastAsiaTheme="minorEastAsia"/>
          <w:color w:val="auto"/>
          <w:sz w:val="24"/>
          <w:highlight w:val="none"/>
        </w:rPr>
        <w:t>中载明核心产品，多家投标人提供的核心产品品牌相同的，按第</w:t>
      </w:r>
      <w:r>
        <w:rPr>
          <w:rFonts w:hint="eastAsia" w:asciiTheme="minorEastAsia" w:hAnsiTheme="minorEastAsia" w:eastAsiaTheme="minorEastAsia"/>
          <w:color w:val="auto"/>
          <w:sz w:val="24"/>
          <w:highlight w:val="none"/>
        </w:rPr>
        <w:t>15</w:t>
      </w: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款</w:t>
      </w:r>
      <w:r>
        <w:rPr>
          <w:rFonts w:asciiTheme="minorEastAsia" w:hAnsiTheme="minorEastAsia" w:eastAsiaTheme="minorEastAsia"/>
          <w:color w:val="auto"/>
          <w:sz w:val="24"/>
          <w:highlight w:val="none"/>
        </w:rPr>
        <w:t>规定处理。</w:t>
      </w:r>
    </w:p>
    <w:p w14:paraId="186D103A">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15</w:t>
      </w:r>
      <w:r>
        <w:rPr>
          <w:rFonts w:ascii="宋体" w:hAnsi="宋体" w:eastAsia="宋体"/>
          <w:color w:val="auto"/>
          <w:sz w:val="24"/>
          <w:highlight w:val="none"/>
        </w:rPr>
        <w:t>.4</w:t>
      </w:r>
      <w:r>
        <w:rPr>
          <w:rFonts w:hint="eastAsia" w:ascii="宋体" w:hAnsi="宋体" w:eastAsia="宋体"/>
          <w:color w:val="auto"/>
          <w:sz w:val="24"/>
          <w:highlight w:val="none"/>
        </w:rPr>
        <w:t>投标文件的澄清</w:t>
      </w:r>
    </w:p>
    <w:p w14:paraId="2B143283">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15</w:t>
      </w:r>
      <w:r>
        <w:rPr>
          <w:rFonts w:ascii="宋体" w:hAnsi="宋体" w:eastAsia="宋体"/>
          <w:color w:val="auto"/>
          <w:sz w:val="24"/>
          <w:highlight w:val="none"/>
        </w:rPr>
        <w:t>.4.1为有助于投标</w:t>
      </w:r>
      <w:r>
        <w:rPr>
          <w:rFonts w:hint="eastAsia" w:ascii="宋体" w:hAnsi="宋体" w:eastAsia="宋体"/>
          <w:color w:val="auto"/>
          <w:sz w:val="24"/>
          <w:highlight w:val="none"/>
        </w:rPr>
        <w:t>文件</w:t>
      </w:r>
      <w:r>
        <w:rPr>
          <w:rFonts w:ascii="宋体" w:hAnsi="宋体" w:eastAsia="宋体"/>
          <w:color w:val="auto"/>
          <w:sz w:val="24"/>
          <w:highlight w:val="none"/>
        </w:rPr>
        <w:t>的审查、评价和比较，在评标期间，评标委员会将以书面</w:t>
      </w:r>
      <w:r>
        <w:rPr>
          <w:rFonts w:hint="eastAsia" w:ascii="宋体" w:hAnsi="宋体" w:eastAsia="宋体"/>
          <w:color w:val="auto"/>
          <w:sz w:val="24"/>
          <w:highlight w:val="none"/>
        </w:rPr>
        <w:t>方式（询标）</w:t>
      </w:r>
      <w:r>
        <w:rPr>
          <w:rFonts w:ascii="宋体" w:hAnsi="宋体" w:eastAsia="宋体"/>
          <w:color w:val="auto"/>
          <w:sz w:val="24"/>
          <w:highlight w:val="none"/>
        </w:rPr>
        <w:t>要求投标人对其投标文件中含义不明确、对同类问题表述不一致或者有明显文字和计算错误的内容</w:t>
      </w:r>
      <w:r>
        <w:rPr>
          <w:rFonts w:hint="eastAsia" w:ascii="宋体" w:hAnsi="宋体" w:eastAsia="宋体"/>
          <w:color w:val="auto"/>
          <w:sz w:val="24"/>
          <w:highlight w:val="none"/>
        </w:rPr>
        <w:t>等</w:t>
      </w:r>
      <w:r>
        <w:rPr>
          <w:rFonts w:ascii="宋体" w:hAnsi="宋体" w:eastAsia="宋体"/>
          <w:color w:val="auto"/>
          <w:sz w:val="24"/>
          <w:highlight w:val="none"/>
        </w:rPr>
        <w:t>作必要的澄清、说明或补正。投标人的澄清、说明或补正应在评标委员会规定的时间内以书面</w:t>
      </w:r>
      <w:r>
        <w:rPr>
          <w:rFonts w:hint="eastAsia" w:ascii="宋体" w:hAnsi="宋体" w:eastAsia="宋体"/>
          <w:color w:val="auto"/>
          <w:sz w:val="24"/>
          <w:highlight w:val="none"/>
        </w:rPr>
        <w:t>方式</w:t>
      </w:r>
      <w:r>
        <w:rPr>
          <w:rFonts w:ascii="宋体" w:hAnsi="宋体" w:eastAsia="宋体"/>
          <w:color w:val="auto"/>
          <w:sz w:val="24"/>
          <w:highlight w:val="none"/>
        </w:rPr>
        <w:t>进行，并不得超出投标文件范围或者改变投标文件的实质性内容。</w:t>
      </w:r>
    </w:p>
    <w:p w14:paraId="40E2A10C">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如有询标，投标人授权代表（或法定代表人）可通过远程登录的方式接受网上询标，也可凭本人有效身份证明参加询标。因投标人授权代表联系不上、没有及时登录系统等情形而无法接受评标委员会询标的，投标人自行承担相关风险。</w:t>
      </w:r>
    </w:p>
    <w:p w14:paraId="51491633">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15.</w:t>
      </w:r>
      <w:r>
        <w:rPr>
          <w:rFonts w:asciiTheme="minorEastAsia" w:hAnsiTheme="minorEastAsia" w:eastAsiaTheme="minorEastAsia"/>
          <w:color w:val="auto"/>
          <w:sz w:val="24"/>
          <w:highlight w:val="none"/>
        </w:rPr>
        <w:t>4.2</w:t>
      </w:r>
      <w:r>
        <w:rPr>
          <w:rFonts w:hint="eastAsia" w:asciiTheme="minorEastAsia" w:hAnsiTheme="minorEastAsia" w:eastAsiaTheme="minorEastAsia"/>
          <w:color w:val="auto"/>
          <w:sz w:val="24"/>
          <w:highlight w:val="none"/>
        </w:rPr>
        <w:t>投标人的澄清、说明或补正将作为投标文件的一部分。</w:t>
      </w:r>
    </w:p>
    <w:p w14:paraId="7BE57399">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15.</w:t>
      </w:r>
      <w:r>
        <w:rPr>
          <w:rFonts w:ascii="宋体" w:hAnsi="宋体" w:eastAsia="宋体"/>
          <w:color w:val="auto"/>
          <w:sz w:val="24"/>
          <w:highlight w:val="none"/>
        </w:rPr>
        <w:t>4.3评标委员会对投标人提交的澄清、说明或补正有疑问的，可以要求投标人进一步澄清、说明或补正，直至满足评标委员会的要求。</w:t>
      </w:r>
    </w:p>
    <w:p w14:paraId="2C90A2F4">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15.</w:t>
      </w:r>
      <w:r>
        <w:rPr>
          <w:rFonts w:ascii="宋体" w:hAnsi="宋体" w:eastAsia="宋体"/>
          <w:color w:val="auto"/>
          <w:sz w:val="24"/>
          <w:highlight w:val="none"/>
        </w:rPr>
        <w:t>5投标文件报价出现前后不一致的，按照下列规定修正：</w:t>
      </w:r>
    </w:p>
    <w:p w14:paraId="43C8338C">
      <w:pPr>
        <w:spacing w:line="360" w:lineRule="auto"/>
        <w:ind w:firstLine="435"/>
        <w:rPr>
          <w:rFonts w:hint="eastAsia" w:ascii="宋体" w:hAnsi="宋体" w:eastAsia="宋体"/>
          <w:color w:val="auto"/>
          <w:sz w:val="24"/>
          <w:highlight w:val="none"/>
        </w:rPr>
      </w:pPr>
      <w:r>
        <w:rPr>
          <w:rFonts w:ascii="宋体" w:hAnsi="宋体" w:eastAsia="宋体"/>
          <w:color w:val="auto"/>
          <w:sz w:val="24"/>
          <w:highlight w:val="none"/>
        </w:rPr>
        <w:t>（</w:t>
      </w:r>
      <w:r>
        <w:rPr>
          <w:rFonts w:hint="eastAsia" w:ascii="宋体" w:hAnsi="宋体" w:eastAsia="宋体"/>
          <w:color w:val="auto"/>
          <w:sz w:val="24"/>
          <w:highlight w:val="none"/>
        </w:rPr>
        <w:t>1</w:t>
      </w:r>
      <w:r>
        <w:rPr>
          <w:rFonts w:ascii="宋体" w:hAnsi="宋体" w:eastAsia="宋体"/>
          <w:color w:val="auto"/>
          <w:sz w:val="24"/>
          <w:highlight w:val="none"/>
        </w:rPr>
        <w:t>）投标文件中开标一览表内容与投标文件中相应内容不一致的，以开标一览表为准；</w:t>
      </w:r>
    </w:p>
    <w:p w14:paraId="726E5195">
      <w:pPr>
        <w:spacing w:line="360" w:lineRule="auto"/>
        <w:ind w:firstLine="435"/>
        <w:rPr>
          <w:rFonts w:hint="eastAsia" w:ascii="宋体" w:hAnsi="宋体" w:eastAsia="宋体"/>
          <w:color w:val="auto"/>
          <w:sz w:val="24"/>
          <w:highlight w:val="none"/>
        </w:rPr>
      </w:pPr>
      <w:r>
        <w:rPr>
          <w:rFonts w:ascii="宋体" w:hAnsi="宋体" w:eastAsia="宋体"/>
          <w:color w:val="auto"/>
          <w:sz w:val="24"/>
          <w:highlight w:val="none"/>
        </w:rPr>
        <w:t>（</w:t>
      </w:r>
      <w:r>
        <w:rPr>
          <w:rFonts w:hint="eastAsia" w:ascii="宋体" w:hAnsi="宋体" w:eastAsia="宋体"/>
          <w:color w:val="auto"/>
          <w:sz w:val="24"/>
          <w:highlight w:val="none"/>
        </w:rPr>
        <w:t>2</w:t>
      </w:r>
      <w:r>
        <w:rPr>
          <w:rFonts w:ascii="宋体" w:hAnsi="宋体" w:eastAsia="宋体"/>
          <w:color w:val="auto"/>
          <w:sz w:val="24"/>
          <w:highlight w:val="none"/>
        </w:rPr>
        <w:t>）大写金额和小写金额不一致的，以大写金额为准；</w:t>
      </w:r>
    </w:p>
    <w:p w14:paraId="0D3CA529">
      <w:pPr>
        <w:spacing w:line="360" w:lineRule="auto"/>
        <w:ind w:firstLine="435"/>
        <w:rPr>
          <w:rFonts w:hint="eastAsia" w:ascii="宋体" w:hAnsi="宋体" w:eastAsia="宋体"/>
          <w:color w:val="auto"/>
          <w:sz w:val="24"/>
          <w:highlight w:val="none"/>
        </w:rPr>
      </w:pPr>
      <w:r>
        <w:rPr>
          <w:rFonts w:ascii="宋体" w:hAnsi="宋体" w:eastAsia="宋体"/>
          <w:color w:val="auto"/>
          <w:sz w:val="24"/>
          <w:highlight w:val="none"/>
        </w:rPr>
        <w:t>（</w:t>
      </w:r>
      <w:r>
        <w:rPr>
          <w:rFonts w:hint="eastAsia" w:ascii="宋体" w:hAnsi="宋体" w:eastAsia="宋体"/>
          <w:color w:val="auto"/>
          <w:sz w:val="24"/>
          <w:highlight w:val="none"/>
        </w:rPr>
        <w:t>3</w:t>
      </w:r>
      <w:r>
        <w:rPr>
          <w:rFonts w:ascii="宋体" w:hAnsi="宋体" w:eastAsia="宋体"/>
          <w:color w:val="auto"/>
          <w:sz w:val="24"/>
          <w:highlight w:val="none"/>
        </w:rPr>
        <w:t>）单价金额小数点或者百分比有明显错位的，以开标一览表的总价为准，并修改单价；</w:t>
      </w:r>
    </w:p>
    <w:p w14:paraId="6A98DC40">
      <w:pPr>
        <w:spacing w:line="360" w:lineRule="auto"/>
        <w:ind w:firstLine="435"/>
        <w:rPr>
          <w:rFonts w:hint="eastAsia" w:ascii="宋体" w:hAnsi="宋体" w:eastAsia="宋体"/>
          <w:color w:val="auto"/>
          <w:sz w:val="24"/>
          <w:highlight w:val="none"/>
        </w:rPr>
      </w:pPr>
      <w:r>
        <w:rPr>
          <w:rFonts w:ascii="宋体" w:hAnsi="宋体" w:eastAsia="宋体"/>
          <w:color w:val="auto"/>
          <w:sz w:val="24"/>
          <w:highlight w:val="none"/>
        </w:rPr>
        <w:t>（</w:t>
      </w:r>
      <w:r>
        <w:rPr>
          <w:rFonts w:hint="eastAsia" w:ascii="宋体" w:hAnsi="宋体" w:eastAsia="宋体"/>
          <w:color w:val="auto"/>
          <w:sz w:val="24"/>
          <w:highlight w:val="none"/>
        </w:rPr>
        <w:t>4</w:t>
      </w:r>
      <w:r>
        <w:rPr>
          <w:rFonts w:ascii="宋体" w:hAnsi="宋体" w:eastAsia="宋体"/>
          <w:color w:val="auto"/>
          <w:sz w:val="24"/>
          <w:highlight w:val="none"/>
        </w:rPr>
        <w:t>）总价金额与按单价汇总金额不一致的，以单价金额计算结果为准。</w:t>
      </w:r>
    </w:p>
    <w:p w14:paraId="05467299">
      <w:pPr>
        <w:spacing w:line="360" w:lineRule="auto"/>
        <w:ind w:firstLine="435"/>
        <w:rPr>
          <w:rFonts w:hint="eastAsia" w:ascii="宋体" w:hAnsi="宋体" w:eastAsia="宋体"/>
          <w:color w:val="auto"/>
          <w:sz w:val="24"/>
          <w:highlight w:val="none"/>
        </w:rPr>
      </w:pPr>
      <w:r>
        <w:rPr>
          <w:rFonts w:ascii="宋体" w:hAnsi="宋体" w:eastAsia="宋体"/>
          <w:color w:val="auto"/>
          <w:sz w:val="24"/>
          <w:highlight w:val="none"/>
        </w:rPr>
        <w:t>同时出现两种以上不一致的，按照前款规定的顺序修正。修正后的报价按照第</w:t>
      </w:r>
      <w:r>
        <w:rPr>
          <w:rFonts w:hint="eastAsia" w:ascii="宋体" w:hAnsi="宋体" w:eastAsia="宋体"/>
          <w:color w:val="auto"/>
          <w:sz w:val="24"/>
          <w:highlight w:val="none"/>
        </w:rPr>
        <w:t>15.</w:t>
      </w:r>
      <w:r>
        <w:rPr>
          <w:rFonts w:ascii="宋体" w:hAnsi="宋体" w:eastAsia="宋体"/>
          <w:color w:val="auto"/>
          <w:sz w:val="24"/>
          <w:highlight w:val="none"/>
        </w:rPr>
        <w:t>4条的规定经投标人确认后产生约束力，投标人不确认的，其投标将被认定为</w:t>
      </w:r>
      <w:r>
        <w:rPr>
          <w:rFonts w:ascii="宋体" w:hAnsi="宋体" w:eastAsia="宋体"/>
          <w:b/>
          <w:color w:val="auto"/>
          <w:sz w:val="24"/>
          <w:highlight w:val="none"/>
        </w:rPr>
        <w:t>投标无效</w:t>
      </w:r>
      <w:r>
        <w:rPr>
          <w:rFonts w:ascii="宋体" w:hAnsi="宋体" w:eastAsia="宋体"/>
          <w:color w:val="auto"/>
          <w:sz w:val="24"/>
          <w:highlight w:val="none"/>
        </w:rPr>
        <w:t>。</w:t>
      </w:r>
    </w:p>
    <w:p w14:paraId="7AA707E8">
      <w:pPr>
        <w:spacing w:line="360" w:lineRule="auto"/>
        <w:ind w:firstLine="435"/>
        <w:rPr>
          <w:rFonts w:hint="eastAsia" w:asciiTheme="minorEastAsia" w:hAnsiTheme="minorEastAsia" w:eastAsiaTheme="minorEastAsia"/>
          <w:b/>
          <w:color w:val="auto"/>
          <w:sz w:val="24"/>
          <w:highlight w:val="none"/>
        </w:rPr>
      </w:pPr>
      <w:r>
        <w:rPr>
          <w:rFonts w:hint="eastAsia" w:asciiTheme="minorEastAsia" w:hAnsiTheme="minorEastAsia" w:eastAsiaTheme="minorEastAsia"/>
          <w:color w:val="auto"/>
          <w:sz w:val="24"/>
          <w:highlight w:val="none"/>
        </w:rPr>
        <w:t>对不同文字文本投标文件的解释发生异议的，以中文文本为准。</w:t>
      </w:r>
    </w:p>
    <w:p w14:paraId="74E7558D">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16.投标无效</w:t>
      </w:r>
    </w:p>
    <w:p w14:paraId="69C9EF3E">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w:t>
      </w:r>
      <w:r>
        <w:rPr>
          <w:rFonts w:asciiTheme="minorEastAsia" w:hAnsiTheme="minorEastAsia" w:eastAsiaTheme="minorEastAsia"/>
          <w:color w:val="auto"/>
          <w:sz w:val="24"/>
          <w:highlight w:val="none"/>
        </w:rPr>
        <w:t>1根据本</w:t>
      </w:r>
      <w:r>
        <w:rPr>
          <w:rFonts w:hint="eastAsia" w:asciiTheme="minorEastAsia" w:hAnsiTheme="minorEastAsia" w:eastAsiaTheme="minorEastAsia"/>
          <w:color w:val="auto"/>
          <w:sz w:val="24"/>
          <w:highlight w:val="none"/>
        </w:rPr>
        <w:t>招标文件</w:t>
      </w:r>
      <w:r>
        <w:rPr>
          <w:rFonts w:asciiTheme="minorEastAsia" w:hAnsiTheme="minorEastAsia" w:eastAsiaTheme="minorEastAsia"/>
          <w:color w:val="auto"/>
          <w:sz w:val="24"/>
          <w:highlight w:val="none"/>
        </w:rPr>
        <w:t>的规定，评标委员会要审查每份投标文件是否实质上响应了招标文件的要求。投标人不得通过修正或撤销不符合要求的偏离，从而使其投标成为实质上响应的投标。</w:t>
      </w:r>
    </w:p>
    <w:p w14:paraId="02EC0275">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评标委员会决定投标的响应性只根据招标文件要求和投标文件内容。</w:t>
      </w:r>
    </w:p>
    <w:p w14:paraId="3326E951">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无论何种原因，即使投标人投标时携带了证书材料的原件，但投标文件中未提供与之内容完全一致的扫描件的，评标委员会视同其未提供。</w:t>
      </w:r>
    </w:p>
    <w:p w14:paraId="76D1A5B6">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w:t>
      </w:r>
      <w:r>
        <w:rPr>
          <w:rFonts w:asciiTheme="minorEastAsia" w:hAnsiTheme="minorEastAsia" w:eastAsiaTheme="minorEastAsia"/>
          <w:color w:val="auto"/>
          <w:sz w:val="24"/>
          <w:highlight w:val="none"/>
        </w:rPr>
        <w:t>2如发现下列情况之一的，其投标将被认定为</w:t>
      </w:r>
      <w:r>
        <w:rPr>
          <w:rFonts w:asciiTheme="minorEastAsia" w:hAnsiTheme="minorEastAsia" w:eastAsiaTheme="minorEastAsia"/>
          <w:b/>
          <w:color w:val="auto"/>
          <w:sz w:val="24"/>
          <w:highlight w:val="none"/>
        </w:rPr>
        <w:t>投标无效</w:t>
      </w:r>
      <w:r>
        <w:rPr>
          <w:rFonts w:asciiTheme="minorEastAsia" w:hAnsiTheme="minorEastAsia" w:eastAsiaTheme="minorEastAsia"/>
          <w:color w:val="auto"/>
          <w:sz w:val="24"/>
          <w:highlight w:val="none"/>
        </w:rPr>
        <w:t>：</w:t>
      </w:r>
    </w:p>
    <w:p w14:paraId="63CF2D6D">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1）投标文件未按照招标文件规定要求签署、盖章的；</w:t>
      </w:r>
    </w:p>
    <w:p w14:paraId="1E0EA79C">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2）不具备招标文件中规定的资格要求的；</w:t>
      </w:r>
    </w:p>
    <w:p w14:paraId="3340CC90">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3）报价超过招标文件中规定的预算金额或者最高限价的；</w:t>
      </w:r>
    </w:p>
    <w:p w14:paraId="57F46F53">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4）投标文件含有采购人不能接受的附加条件的；</w:t>
      </w:r>
    </w:p>
    <w:p w14:paraId="575FBA23">
      <w:pPr>
        <w:spacing w:line="360" w:lineRule="auto"/>
        <w:ind w:firstLine="435"/>
        <w:rPr>
          <w:rFonts w:hint="eastAsia" w:ascii="宋体" w:hAnsi="宋体" w:eastAsia="宋体"/>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5）法律、法规和招标文件规定的其他无效情形。</w:t>
      </w:r>
    </w:p>
    <w:p w14:paraId="0E74BBA4">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17.比较与评价</w:t>
      </w:r>
    </w:p>
    <w:p w14:paraId="2F4F3DC6">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17.1经符合性审查合格</w:t>
      </w:r>
      <w:r>
        <w:rPr>
          <w:rFonts w:hint="eastAsia" w:ascii="宋体" w:hAnsi="宋体" w:eastAsia="宋体" w:cs="Times New Roman"/>
          <w:color w:val="auto"/>
          <w:sz w:val="24"/>
          <w:highlight w:val="none"/>
        </w:rPr>
        <w:t>并通过异常低价投标审查</w:t>
      </w:r>
      <w:r>
        <w:rPr>
          <w:rFonts w:hint="eastAsia" w:asciiTheme="minorEastAsia" w:hAnsiTheme="minorEastAsia" w:eastAsiaTheme="minorEastAsia"/>
          <w:color w:val="auto"/>
          <w:sz w:val="24"/>
          <w:highlight w:val="none"/>
        </w:rPr>
        <w:t>的投标文件，评标委员会将根据招标文件确定的评标方法和标准，对其投标文件作进一步的比较与评价。</w:t>
      </w:r>
    </w:p>
    <w:p w14:paraId="0E019B71">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17.2评标严格按照</w:t>
      </w:r>
      <w:r>
        <w:rPr>
          <w:rFonts w:hint="eastAsia" w:ascii="宋体" w:hAnsi="宋体" w:eastAsia="宋体"/>
          <w:color w:val="auto"/>
          <w:sz w:val="24"/>
          <w:highlight w:val="none"/>
        </w:rPr>
        <w:t>招标文件</w:t>
      </w:r>
      <w:r>
        <w:rPr>
          <w:rFonts w:hint="eastAsia" w:asciiTheme="minorEastAsia" w:hAnsiTheme="minorEastAsia" w:eastAsiaTheme="minorEastAsia"/>
          <w:color w:val="auto"/>
          <w:sz w:val="24"/>
          <w:highlight w:val="none"/>
        </w:rPr>
        <w:t>的要求和条件进行。根据实际情况，在</w:t>
      </w:r>
      <w:r>
        <w:rPr>
          <w:rFonts w:hint="eastAsia" w:asciiTheme="minorEastAsia" w:hAnsiTheme="minorEastAsia" w:eastAsiaTheme="minorEastAsia"/>
          <w:color w:val="auto"/>
          <w:sz w:val="24"/>
          <w:highlight w:val="none"/>
          <w:u w:val="single"/>
        </w:rPr>
        <w:t>投标人须知前附表</w:t>
      </w:r>
      <w:r>
        <w:rPr>
          <w:rFonts w:hint="eastAsia" w:asciiTheme="minorEastAsia" w:hAnsiTheme="minorEastAsia" w:eastAsiaTheme="minorEastAsia"/>
          <w:color w:val="auto"/>
          <w:sz w:val="24"/>
          <w:highlight w:val="none"/>
        </w:rPr>
        <w:t>中规定采用下列一种评标方法，详细评标方法和标准见招标文件第四章：</w:t>
      </w:r>
    </w:p>
    <w:p w14:paraId="6EB4EE9A">
      <w:pPr>
        <w:spacing w:line="360" w:lineRule="auto"/>
        <w:ind w:firstLine="435"/>
        <w:rPr>
          <w:rFonts w:hint="eastAsia" w:ascii="宋体" w:hAnsi="宋体" w:eastAsia="宋体"/>
          <w:color w:val="auto"/>
          <w:sz w:val="24"/>
          <w:highlight w:val="none"/>
        </w:rPr>
      </w:pPr>
      <w:r>
        <w:rPr>
          <w:rFonts w:hint="eastAsia" w:asciiTheme="minorEastAsia" w:hAnsiTheme="minorEastAsia" w:eastAsiaTheme="minorEastAsia"/>
          <w:color w:val="auto"/>
          <w:sz w:val="24"/>
          <w:highlight w:val="none"/>
        </w:rPr>
        <w:t>（</w:t>
      </w:r>
      <w:r>
        <w:rPr>
          <w:rFonts w:hint="eastAsia" w:ascii="宋体" w:hAnsi="宋体" w:eastAsia="宋体"/>
          <w:color w:val="auto"/>
          <w:sz w:val="24"/>
          <w:highlight w:val="none"/>
        </w:rPr>
        <w:t>1）最低评标价法，是指</w:t>
      </w:r>
      <w:r>
        <w:rPr>
          <w:rFonts w:ascii="宋体" w:hAnsi="宋体" w:eastAsia="宋体"/>
          <w:color w:val="auto"/>
          <w:sz w:val="24"/>
          <w:highlight w:val="none"/>
        </w:rPr>
        <w:t>投标文件满足招标文件全部实质性要求</w:t>
      </w:r>
      <w:r>
        <w:rPr>
          <w:rFonts w:hint="eastAsia" w:ascii="宋体" w:hAnsi="宋体" w:eastAsia="宋体"/>
          <w:color w:val="auto"/>
          <w:sz w:val="24"/>
          <w:highlight w:val="none"/>
        </w:rPr>
        <w:t>，</w:t>
      </w:r>
      <w:r>
        <w:rPr>
          <w:rFonts w:ascii="宋体" w:hAnsi="宋体" w:eastAsia="宋体"/>
          <w:color w:val="auto"/>
          <w:sz w:val="24"/>
          <w:highlight w:val="none"/>
        </w:rPr>
        <w:t>且投标报价最低的</w:t>
      </w:r>
      <w:r>
        <w:rPr>
          <w:rFonts w:hint="eastAsia" w:ascii="宋体" w:hAnsi="宋体" w:eastAsia="宋体"/>
          <w:color w:val="auto"/>
          <w:sz w:val="24"/>
          <w:highlight w:val="none"/>
        </w:rPr>
        <w:t>投标人</w:t>
      </w:r>
      <w:r>
        <w:rPr>
          <w:rFonts w:ascii="宋体" w:hAnsi="宋体" w:eastAsia="宋体"/>
          <w:color w:val="auto"/>
          <w:sz w:val="24"/>
          <w:highlight w:val="none"/>
        </w:rPr>
        <w:t>为中标</w:t>
      </w:r>
      <w:r>
        <w:rPr>
          <w:rFonts w:hint="eastAsia" w:ascii="宋体" w:hAnsi="宋体" w:eastAsia="宋体"/>
          <w:color w:val="auto"/>
          <w:sz w:val="24"/>
          <w:highlight w:val="none"/>
        </w:rPr>
        <w:t>候选</w:t>
      </w:r>
      <w:r>
        <w:rPr>
          <w:rFonts w:ascii="宋体" w:hAnsi="宋体" w:eastAsia="宋体"/>
          <w:color w:val="auto"/>
          <w:sz w:val="24"/>
          <w:highlight w:val="none"/>
        </w:rPr>
        <w:t>人的评标方法</w:t>
      </w:r>
      <w:r>
        <w:rPr>
          <w:rFonts w:hint="eastAsia" w:ascii="宋体" w:hAnsi="宋体" w:eastAsia="宋体"/>
          <w:color w:val="auto"/>
          <w:sz w:val="24"/>
          <w:highlight w:val="none"/>
        </w:rPr>
        <w:t>。</w:t>
      </w:r>
    </w:p>
    <w:p w14:paraId="2E327EC3">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（2）综合评分法，是</w:t>
      </w:r>
      <w:r>
        <w:rPr>
          <w:rFonts w:ascii="宋体" w:hAnsi="宋体" w:eastAsia="宋体"/>
          <w:color w:val="auto"/>
          <w:sz w:val="24"/>
          <w:highlight w:val="none"/>
        </w:rPr>
        <w:t>指投标文件满足招标</w:t>
      </w:r>
      <w:r>
        <w:rPr>
          <w:rFonts w:hint="eastAsia" w:ascii="宋体" w:hAnsi="宋体" w:eastAsia="宋体"/>
          <w:color w:val="auto"/>
          <w:sz w:val="24"/>
          <w:highlight w:val="none"/>
        </w:rPr>
        <w:t>文件</w:t>
      </w:r>
      <w:r>
        <w:rPr>
          <w:rFonts w:ascii="宋体" w:hAnsi="宋体" w:eastAsia="宋体"/>
          <w:color w:val="auto"/>
          <w:sz w:val="24"/>
          <w:highlight w:val="none"/>
        </w:rPr>
        <w:t>全部实质性要求</w:t>
      </w:r>
      <w:r>
        <w:rPr>
          <w:rFonts w:hint="eastAsia" w:ascii="宋体" w:hAnsi="宋体" w:eastAsia="宋体"/>
          <w:color w:val="auto"/>
          <w:sz w:val="24"/>
          <w:highlight w:val="none"/>
        </w:rPr>
        <w:t>，</w:t>
      </w:r>
      <w:r>
        <w:rPr>
          <w:rFonts w:ascii="宋体" w:hAnsi="宋体" w:eastAsia="宋体"/>
          <w:color w:val="auto"/>
          <w:sz w:val="24"/>
          <w:highlight w:val="none"/>
        </w:rPr>
        <w:t>且按照评审因素的</w:t>
      </w:r>
      <w:r>
        <w:rPr>
          <w:rFonts w:hint="eastAsia" w:ascii="宋体" w:hAnsi="宋体" w:eastAsia="宋体"/>
          <w:color w:val="auto"/>
          <w:sz w:val="24"/>
          <w:highlight w:val="none"/>
        </w:rPr>
        <w:t>量化</w:t>
      </w:r>
      <w:r>
        <w:rPr>
          <w:rFonts w:ascii="宋体" w:hAnsi="宋体" w:eastAsia="宋体"/>
          <w:color w:val="auto"/>
          <w:sz w:val="24"/>
          <w:highlight w:val="none"/>
        </w:rPr>
        <w:t>指标评审得分最高的</w:t>
      </w:r>
      <w:r>
        <w:rPr>
          <w:rFonts w:hint="eastAsia" w:ascii="宋体" w:hAnsi="宋体" w:eastAsia="宋体"/>
          <w:color w:val="auto"/>
          <w:sz w:val="24"/>
          <w:highlight w:val="none"/>
        </w:rPr>
        <w:t>投标人</w:t>
      </w:r>
      <w:r>
        <w:rPr>
          <w:rFonts w:ascii="宋体" w:hAnsi="宋体" w:eastAsia="宋体"/>
          <w:color w:val="auto"/>
          <w:sz w:val="24"/>
          <w:highlight w:val="none"/>
        </w:rPr>
        <w:t>为中标候选人的评标方法。</w:t>
      </w:r>
    </w:p>
    <w:p w14:paraId="6235B935">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17.</w:t>
      </w:r>
      <w:r>
        <w:rPr>
          <w:rFonts w:ascii="宋体" w:hAnsi="宋体" w:eastAsia="宋体"/>
          <w:color w:val="auto"/>
          <w:sz w:val="24"/>
          <w:highlight w:val="none"/>
        </w:rPr>
        <w:t>3根据《政府采购促进中小企业发展管理办法》（财库〔2020〕46号）、《三部门联合发布关于促进残疾人就业政府采购政策的通知》（财库〔2017〕141号）和《财政部司法部关于政府采购支持监狱企业发展有关问题的通知》（财库〔2014〕68号）的规定，对满足价格扣除条件且在投标文件中提交了《中小企业声明函》、《残疾人福利性单位声明函》或省级以上监狱管理局、戒毒管理局（含新疆生产建设兵团）出具的属于监狱企业的证明文件的投标人，其投标报价按照</w:t>
      </w:r>
      <w:r>
        <w:rPr>
          <w:rFonts w:ascii="宋体" w:hAnsi="宋体" w:eastAsia="宋体"/>
          <w:color w:val="auto"/>
          <w:sz w:val="24"/>
          <w:highlight w:val="none"/>
          <w:u w:val="single"/>
        </w:rPr>
        <w:t>投标人须知前附表</w:t>
      </w:r>
      <w:r>
        <w:rPr>
          <w:rFonts w:ascii="宋体" w:hAnsi="宋体" w:eastAsia="宋体"/>
          <w:color w:val="auto"/>
          <w:sz w:val="24"/>
          <w:highlight w:val="none"/>
        </w:rPr>
        <w:t>中规定的标准扣除后的价格参与评审。对于同时属于小微企</w:t>
      </w:r>
      <w:r>
        <w:rPr>
          <w:rFonts w:hint="eastAsia" w:ascii="宋体" w:hAnsi="宋体" w:eastAsia="宋体"/>
          <w:color w:val="auto"/>
          <w:sz w:val="24"/>
          <w:highlight w:val="none"/>
        </w:rPr>
        <w:t>业、监狱企业或残疾人福利性单位的，不重复进行投标报价扣除。</w:t>
      </w:r>
    </w:p>
    <w:p w14:paraId="420F1333">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接受大中型企业与小微企业组成联合体或者允许大中型企业向一家或者多家小微企业分包的，对于联合协议或者分包意向协议约定小微企业的合同份额占到合同总金额</w:t>
      </w:r>
      <w:r>
        <w:rPr>
          <w:rFonts w:ascii="宋体" w:hAnsi="宋体" w:eastAsia="宋体"/>
          <w:color w:val="auto"/>
          <w:sz w:val="24"/>
          <w:highlight w:val="none"/>
        </w:rPr>
        <w:t>30%以上的，可给予联合体或者大中型企业的投标报价按照</w:t>
      </w:r>
      <w:r>
        <w:rPr>
          <w:rFonts w:ascii="宋体" w:hAnsi="宋体" w:eastAsia="宋体"/>
          <w:color w:val="auto"/>
          <w:sz w:val="24"/>
          <w:highlight w:val="none"/>
          <w:u w:val="single"/>
        </w:rPr>
        <w:t>投标人须知前附表</w:t>
      </w:r>
      <w:r>
        <w:rPr>
          <w:rFonts w:ascii="宋体" w:hAnsi="宋体" w:eastAsia="宋体"/>
          <w:color w:val="auto"/>
          <w:sz w:val="24"/>
          <w:highlight w:val="none"/>
        </w:rPr>
        <w:t>中规定的标准扣除后的价格参与评审。组成联合体或者接受分包的小微企业与联合体内其他企业、分包企业之间存在直接控股、管理关系的，不享受价格扣除优惠政策。</w:t>
      </w:r>
    </w:p>
    <w:p w14:paraId="57606969">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以联合体形式参加政府采购活动，联合体各方均为中小企业的，联合体视同中小企业。其中，联合体各方均为小微企业的，联合体视同小微企业。</w:t>
      </w:r>
    </w:p>
    <w:p w14:paraId="28B8D1D7">
      <w:pPr>
        <w:pStyle w:val="34"/>
        <w:spacing w:line="360" w:lineRule="auto"/>
        <w:ind w:firstLine="480" w:firstLineChars="200"/>
        <w:rPr>
          <w:rFonts w:hint="eastAsia" w:cs="宋体"/>
          <w:color w:val="auto"/>
          <w:szCs w:val="24"/>
          <w:highlight w:val="none"/>
        </w:rPr>
      </w:pPr>
      <w:r>
        <w:rPr>
          <w:rFonts w:hint="eastAsia" w:cs="宋体"/>
          <w:color w:val="auto"/>
          <w:szCs w:val="24"/>
          <w:highlight w:val="none"/>
        </w:rPr>
        <w:t>17.4根据《国务院办公厅关于在政府采购中实施本国产品标准及相关政策的通知》（国办发〔2025〕34号）和财政部工业和信息化部关于贯彻落实《国务院办公厅关于在政府采购中实施本国产品标准及相关政策的通知》的意见（财库〔2025〕30号），政府采购活动中既有本国产品又有非本国产品参与竞争的，依法对本国产品给予价格评审优惠，对本国产品的报价给予20%的价格扣除，用扣除后的价格参与评审。当采购项目或者采购包中含有多种产品，投标人为该采购项目或者采购包提供的符合本国产品标准的产品成本之和占该投标人提供的全部产品成本之和的比例达到80%以上时，依法对该投标人提供的全部产品给予价格评审优惠，即对该投标人提供的全部产品的总报价给予20%的价格扣除，用扣除后的价格参与评审。</w:t>
      </w:r>
    </w:p>
    <w:p w14:paraId="5556DFC6">
      <w:pPr>
        <w:pStyle w:val="34"/>
        <w:spacing w:line="360" w:lineRule="auto"/>
        <w:ind w:firstLine="480" w:firstLineChars="200"/>
        <w:rPr>
          <w:rFonts w:hint="eastAsia" w:cs="宋体"/>
          <w:color w:val="auto"/>
          <w:szCs w:val="24"/>
          <w:highlight w:val="none"/>
        </w:rPr>
      </w:pPr>
      <w:r>
        <w:rPr>
          <w:rFonts w:hint="eastAsia" w:cs="宋体"/>
          <w:color w:val="auto"/>
          <w:szCs w:val="24"/>
          <w:highlight w:val="none"/>
        </w:rPr>
        <w:t>评标委员会应当对投标人所出具的《关于符合本国产品标准的声明函》（以下简称《声明函》）的完整性、准确性进行审查，评审中发现《声明函》内容含义不明确、同类事项与投标文件表述不一致或者有明显文字错误等情况的，应当以书面形式要求投标人作出必要的澄清、说明或者补正。经澄清、说明或者补正的《声明函》仍然不符合规定要求的，投标人提供的相关产品视为不符合本国产品标准。</w:t>
      </w:r>
    </w:p>
    <w:p w14:paraId="00D39164">
      <w:pPr>
        <w:pStyle w:val="34"/>
        <w:spacing w:line="360" w:lineRule="auto"/>
        <w:ind w:firstLine="240" w:firstLineChars="100"/>
        <w:rPr>
          <w:rFonts w:hint="eastAsia" w:cs="宋体"/>
          <w:color w:val="auto"/>
          <w:szCs w:val="24"/>
          <w:highlight w:val="none"/>
        </w:rPr>
      </w:pPr>
      <w:r>
        <w:rPr>
          <w:rFonts w:hint="eastAsia" w:cs="宋体"/>
          <w:color w:val="auto"/>
          <w:szCs w:val="24"/>
          <w:highlight w:val="none"/>
        </w:rPr>
        <w:t>注：本项目所称的本国产品是指在中国境内生产的产品，即在中华人民共和国关境内实现从原材料、组件到产品的属性改变。在国内保税区、综合保税区等海关特殊监管区域生产的产品，属于在中国境内生产的产品；对医疗器械产品，取得药品监督管理部门授予的准字号医疗器械注册证的，属于在中国境内生产的产品；其他产品，根据实际情况判断是否在中国境内生产。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4F7D505D">
      <w:pPr>
        <w:pStyle w:val="34"/>
        <w:spacing w:line="360" w:lineRule="auto"/>
        <w:ind w:firstLine="240" w:firstLineChars="100"/>
        <w:rPr>
          <w:rFonts w:hint="eastAsia" w:cs="宋体"/>
          <w:color w:val="auto"/>
          <w:szCs w:val="24"/>
          <w:highlight w:val="none"/>
        </w:rPr>
      </w:pPr>
      <w:r>
        <w:rPr>
          <w:rFonts w:hint="eastAsia" w:cs="宋体"/>
          <w:color w:val="auto"/>
          <w:szCs w:val="24"/>
          <w:highlight w:val="none"/>
        </w:rPr>
        <w:t>17.5同时符合17.3和17.4的价格评审优惠时，评标价为投标报价分别扣除促进中小企业发展政策的价格评审优惠和本国产品支持政策的价格评审优惠后的价格。</w:t>
      </w:r>
    </w:p>
    <w:p w14:paraId="1580F1FB">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18</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废标、重新招标与变更采购方式</w:t>
      </w:r>
    </w:p>
    <w:p w14:paraId="0ECFE23C">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18.1出现下列情形之一，将导致项目废标：</w:t>
      </w:r>
    </w:p>
    <w:p w14:paraId="5826C62D">
      <w:pPr>
        <w:spacing w:line="360" w:lineRule="auto"/>
        <w:ind w:firstLine="435"/>
        <w:rPr>
          <w:rFonts w:hint="eastAsia" w:ascii="宋体" w:hAnsi="宋体" w:eastAsia="宋体"/>
          <w:color w:val="auto"/>
          <w:sz w:val="24"/>
          <w:highlight w:val="none"/>
        </w:rPr>
      </w:pPr>
      <w:r>
        <w:rPr>
          <w:rFonts w:hint="eastAsia" w:asciiTheme="minorEastAsia" w:hAnsiTheme="minorEastAsia" w:eastAsiaTheme="minorEastAsia"/>
          <w:color w:val="auto"/>
          <w:sz w:val="24"/>
          <w:highlight w:val="none"/>
        </w:rPr>
        <w:t>（</w:t>
      </w:r>
      <w:r>
        <w:rPr>
          <w:rFonts w:hint="eastAsia" w:ascii="宋体" w:hAnsi="宋体" w:eastAsia="宋体"/>
          <w:color w:val="auto"/>
          <w:sz w:val="24"/>
          <w:highlight w:val="none"/>
        </w:rPr>
        <w:t>1）符合专业条件的供应商或者对招标文件做实质性响应的供应商不足规定数量的；</w:t>
      </w:r>
    </w:p>
    <w:p w14:paraId="628D96E5">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（2）出现影响采购公正的违法、违规行为的；</w:t>
      </w:r>
    </w:p>
    <w:p w14:paraId="6CE2B444">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（3）投标人的报价均超过了采购预算，采购人不能支付的；</w:t>
      </w:r>
    </w:p>
    <w:p w14:paraId="502A962E">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（4）因重大变故，采购任务取消的。</w:t>
      </w:r>
    </w:p>
    <w:p w14:paraId="0CD037C2">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18.2公开招标数额标准以上的采购项目，投标截止后投标人不足</w:t>
      </w:r>
      <w:r>
        <w:rPr>
          <w:rFonts w:asciiTheme="minorEastAsia" w:hAnsiTheme="minorEastAsia" w:eastAsiaTheme="minorEastAsia"/>
          <w:color w:val="auto"/>
          <w:sz w:val="24"/>
          <w:highlight w:val="none"/>
        </w:rPr>
        <w:t>3家或者通过</w:t>
      </w:r>
      <w:r>
        <w:rPr>
          <w:rFonts w:hint="eastAsia" w:asciiTheme="minorEastAsia" w:hAnsiTheme="minorEastAsia" w:eastAsiaTheme="minorEastAsia"/>
          <w:color w:val="auto"/>
          <w:sz w:val="24"/>
          <w:highlight w:val="none"/>
        </w:rPr>
        <w:t>资格审查或符合性审查</w:t>
      </w:r>
      <w:r>
        <w:rPr>
          <w:rFonts w:hint="eastAsia" w:ascii="宋体" w:hAnsi="宋体" w:eastAsia="宋体" w:cs="Times New Roman"/>
          <w:color w:val="auto"/>
          <w:sz w:val="24"/>
          <w:highlight w:val="none"/>
        </w:rPr>
        <w:t>或异常低价投标审查</w:t>
      </w:r>
      <w:r>
        <w:rPr>
          <w:rFonts w:hint="eastAsia" w:asciiTheme="minorEastAsia" w:hAnsiTheme="minorEastAsia" w:eastAsiaTheme="minorEastAsia"/>
          <w:color w:val="auto"/>
          <w:sz w:val="24"/>
          <w:highlight w:val="none"/>
        </w:rPr>
        <w:t>的投标人不足</w:t>
      </w:r>
      <w:r>
        <w:rPr>
          <w:rFonts w:asciiTheme="minorEastAsia" w:hAnsiTheme="minorEastAsia" w:eastAsiaTheme="minorEastAsia"/>
          <w:color w:val="auto"/>
          <w:sz w:val="24"/>
          <w:highlight w:val="none"/>
        </w:rPr>
        <w:t>3家的，除采购任务取消情形外，按照以下方式处理：</w:t>
      </w:r>
    </w:p>
    <w:p w14:paraId="2AF7C72C">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（1）招标文件存在不合理条款或者招标程序不符合规定的，采购人、采购代理机构改正后依法重新招标；</w:t>
      </w:r>
    </w:p>
    <w:p w14:paraId="7EA0B793">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（2）招标文件没有不合理条款、招标程序符合规定，需要采用其他采购方式采购的，采购人应当依法报</w:t>
      </w:r>
      <w:r>
        <w:rPr>
          <w:rFonts w:hint="eastAsia" w:ascii="宋体" w:hAnsi="宋体" w:eastAsia="宋体" w:cs="宋体"/>
          <w:color w:val="auto"/>
          <w:sz w:val="24"/>
          <w:szCs w:val="24"/>
          <w:highlight w:val="none"/>
        </w:rPr>
        <w:t>政府采购监督管理部门</w:t>
      </w:r>
      <w:r>
        <w:rPr>
          <w:rFonts w:hint="eastAsia" w:asciiTheme="minorEastAsia" w:hAnsiTheme="minorEastAsia" w:eastAsiaTheme="minorEastAsia"/>
          <w:color w:val="auto"/>
          <w:sz w:val="24"/>
          <w:highlight w:val="none"/>
        </w:rPr>
        <w:t>批准。</w:t>
      </w:r>
    </w:p>
    <w:p w14:paraId="76AF8560">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19</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保密要求</w:t>
      </w:r>
    </w:p>
    <w:p w14:paraId="469CA132">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19.1评标将在严格保密的情况下进行。</w:t>
      </w:r>
    </w:p>
    <w:p w14:paraId="01E0D59B">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19.2有关人员</w:t>
      </w:r>
      <w:r>
        <w:rPr>
          <w:rFonts w:ascii="宋体" w:hAnsi="宋体" w:eastAsia="宋体"/>
          <w:color w:val="auto"/>
          <w:sz w:val="24"/>
          <w:highlight w:val="none"/>
        </w:rPr>
        <w:t>应当</w:t>
      </w:r>
      <w:r>
        <w:rPr>
          <w:rFonts w:hint="eastAsia" w:ascii="宋体" w:hAnsi="宋体" w:eastAsia="宋体"/>
          <w:color w:val="auto"/>
          <w:sz w:val="24"/>
          <w:highlight w:val="none"/>
        </w:rPr>
        <w:t>遵</w:t>
      </w:r>
      <w:r>
        <w:rPr>
          <w:rFonts w:ascii="宋体" w:hAnsi="宋体" w:eastAsia="宋体"/>
          <w:color w:val="auto"/>
          <w:sz w:val="24"/>
          <w:highlight w:val="none"/>
        </w:rPr>
        <w:t>守评</w:t>
      </w:r>
      <w:r>
        <w:rPr>
          <w:rFonts w:hint="eastAsia" w:ascii="宋体" w:hAnsi="宋体" w:eastAsia="宋体"/>
          <w:color w:val="auto"/>
          <w:sz w:val="24"/>
          <w:highlight w:val="none"/>
        </w:rPr>
        <w:t>标</w:t>
      </w:r>
      <w:r>
        <w:rPr>
          <w:rFonts w:ascii="宋体" w:hAnsi="宋体" w:eastAsia="宋体"/>
          <w:color w:val="auto"/>
          <w:sz w:val="24"/>
          <w:highlight w:val="none"/>
        </w:rPr>
        <w:t>工作纪律，不得</w:t>
      </w:r>
      <w:r>
        <w:rPr>
          <w:rFonts w:hint="eastAsia" w:ascii="宋体" w:hAnsi="宋体" w:eastAsia="宋体"/>
          <w:color w:val="auto"/>
          <w:sz w:val="24"/>
          <w:highlight w:val="none"/>
        </w:rPr>
        <w:t>泄露</w:t>
      </w:r>
      <w:r>
        <w:rPr>
          <w:rFonts w:ascii="宋体" w:hAnsi="宋体" w:eastAsia="宋体"/>
          <w:color w:val="auto"/>
          <w:sz w:val="24"/>
          <w:highlight w:val="none"/>
        </w:rPr>
        <w:t>评</w:t>
      </w:r>
      <w:r>
        <w:rPr>
          <w:rFonts w:hint="eastAsia" w:ascii="宋体" w:hAnsi="宋体" w:eastAsia="宋体"/>
          <w:color w:val="auto"/>
          <w:sz w:val="24"/>
          <w:highlight w:val="none"/>
        </w:rPr>
        <w:t>标文件</w:t>
      </w:r>
      <w:r>
        <w:rPr>
          <w:rFonts w:ascii="宋体" w:hAnsi="宋体" w:eastAsia="宋体"/>
          <w:color w:val="auto"/>
          <w:sz w:val="24"/>
          <w:highlight w:val="none"/>
        </w:rPr>
        <w:t>、评</w:t>
      </w:r>
      <w:r>
        <w:rPr>
          <w:rFonts w:hint="eastAsia" w:ascii="宋体" w:hAnsi="宋体" w:eastAsia="宋体"/>
          <w:color w:val="auto"/>
          <w:sz w:val="24"/>
          <w:highlight w:val="none"/>
        </w:rPr>
        <w:t>标</w:t>
      </w:r>
      <w:r>
        <w:rPr>
          <w:rFonts w:ascii="宋体" w:hAnsi="宋体" w:eastAsia="宋体"/>
          <w:color w:val="auto"/>
          <w:sz w:val="24"/>
          <w:highlight w:val="none"/>
        </w:rPr>
        <w:t>情况和评</w:t>
      </w:r>
      <w:r>
        <w:rPr>
          <w:rFonts w:hint="eastAsia" w:ascii="宋体" w:hAnsi="宋体" w:eastAsia="宋体"/>
          <w:color w:val="auto"/>
          <w:sz w:val="24"/>
          <w:highlight w:val="none"/>
        </w:rPr>
        <w:t>标</w:t>
      </w:r>
      <w:r>
        <w:rPr>
          <w:rFonts w:ascii="宋体" w:hAnsi="宋体" w:eastAsia="宋体"/>
          <w:color w:val="auto"/>
          <w:sz w:val="24"/>
          <w:highlight w:val="none"/>
        </w:rPr>
        <w:t>中获悉的</w:t>
      </w:r>
      <w:r>
        <w:rPr>
          <w:rFonts w:hint="eastAsia" w:ascii="宋体" w:hAnsi="宋体" w:eastAsia="宋体"/>
          <w:color w:val="auto"/>
          <w:sz w:val="24"/>
          <w:highlight w:val="none"/>
        </w:rPr>
        <w:t>国家秘密、</w:t>
      </w:r>
      <w:r>
        <w:rPr>
          <w:rFonts w:ascii="宋体" w:hAnsi="宋体" w:eastAsia="宋体"/>
          <w:color w:val="auto"/>
          <w:sz w:val="24"/>
          <w:highlight w:val="none"/>
        </w:rPr>
        <w:t>商业秘密。</w:t>
      </w:r>
    </w:p>
    <w:p w14:paraId="296F5801">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20</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中标候选人的确定原则及标准</w:t>
      </w:r>
    </w:p>
    <w:p w14:paraId="2F8FD6CA">
      <w:pPr>
        <w:spacing w:line="360" w:lineRule="auto"/>
        <w:ind w:firstLine="435"/>
        <w:rPr>
          <w:rFonts w:hint="eastAsia"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0</w:t>
      </w:r>
      <w:r>
        <w:rPr>
          <w:rFonts w:asciiTheme="minorEastAsia" w:hAnsiTheme="minorEastAsia" w:eastAsiaTheme="minorEastAsia"/>
          <w:color w:val="auto"/>
          <w:sz w:val="24"/>
          <w:highlight w:val="none"/>
        </w:rPr>
        <w:t>.1评</w:t>
      </w:r>
      <w:r>
        <w:rPr>
          <w:rFonts w:hint="eastAsia" w:asciiTheme="minorEastAsia" w:hAnsiTheme="minorEastAsia" w:eastAsiaTheme="minorEastAsia"/>
          <w:color w:val="auto"/>
          <w:sz w:val="24"/>
          <w:highlight w:val="none"/>
        </w:rPr>
        <w:t>标</w:t>
      </w:r>
      <w:r>
        <w:rPr>
          <w:rFonts w:asciiTheme="minorEastAsia" w:hAnsiTheme="minorEastAsia" w:eastAsiaTheme="minorEastAsia"/>
          <w:color w:val="auto"/>
          <w:sz w:val="24"/>
          <w:highlight w:val="none"/>
        </w:rPr>
        <w:t>委员会依据本项目招标文件所约定的评标方法，对实质上响应招标文件的投标人按下列方法进行排序</w:t>
      </w:r>
      <w:r>
        <w:rPr>
          <w:rFonts w:hint="eastAsia" w:asciiTheme="minorEastAsia" w:hAnsiTheme="minorEastAsia" w:eastAsiaTheme="minorEastAsia"/>
          <w:color w:val="auto"/>
          <w:sz w:val="24"/>
          <w:highlight w:val="none"/>
        </w:rPr>
        <w:t>，确定中标候选人</w:t>
      </w:r>
      <w:r>
        <w:rPr>
          <w:rFonts w:asciiTheme="minorEastAsia" w:hAnsiTheme="minorEastAsia" w:eastAsiaTheme="minorEastAsia"/>
          <w:color w:val="auto"/>
          <w:sz w:val="24"/>
          <w:highlight w:val="none"/>
        </w:rPr>
        <w:t>：</w:t>
      </w:r>
    </w:p>
    <w:p w14:paraId="3C2FC53F">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1）采用最低评标价法的，除了算术修正和落实政府采购政策需进行的价格扣除外，不对投标人的投标价格进行任何调整。评标结果按修正和扣除后的投标报价由低到高顺序排列。修正和扣除后的投标报价</w:t>
      </w:r>
      <w:r>
        <w:rPr>
          <w:rFonts w:hint="eastAsia" w:asciiTheme="minorEastAsia" w:hAnsiTheme="minorEastAsia" w:eastAsiaTheme="minorEastAsia"/>
          <w:color w:val="auto"/>
          <w:sz w:val="24"/>
          <w:highlight w:val="none"/>
        </w:rPr>
        <w:t>出现两家或两家以上相同者，则所投产品为节能产品、环境标志产品、不发达地区或少数民族地区产品者优先；若报价相同且所投产品同为节能产品、环境标志产品、不发达地区或少数民族地区产品的，则采取评标委员会随机抽取的方式确定中标候选顺序。</w:t>
      </w:r>
    </w:p>
    <w:p w14:paraId="0FAECEC4">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2）采用综合评分法的，评标结果按评审后得分由高到低顺序排列。得分相同的，按投标报价由低到高顺序排列。得分与投标报价均相同的</w:t>
      </w:r>
      <w:r>
        <w:rPr>
          <w:rFonts w:hint="eastAsia" w:asciiTheme="minorEastAsia" w:hAnsiTheme="minorEastAsia" w:eastAsiaTheme="minorEastAsia"/>
          <w:color w:val="auto"/>
          <w:sz w:val="24"/>
          <w:highlight w:val="none"/>
        </w:rPr>
        <w:t>，则所投产品为节能产品、环境标志产品、不发达地区或少数民族地区产品者优先；若</w:t>
      </w:r>
      <w:r>
        <w:rPr>
          <w:rFonts w:asciiTheme="minorEastAsia" w:hAnsiTheme="minorEastAsia" w:eastAsiaTheme="minorEastAsia"/>
          <w:color w:val="auto"/>
          <w:sz w:val="24"/>
          <w:highlight w:val="none"/>
        </w:rPr>
        <w:t>得分与投标报价均相同</w:t>
      </w:r>
      <w:r>
        <w:rPr>
          <w:rFonts w:hint="eastAsia" w:asciiTheme="minorEastAsia" w:hAnsiTheme="minorEastAsia" w:eastAsiaTheme="minorEastAsia"/>
          <w:color w:val="auto"/>
          <w:sz w:val="24"/>
          <w:highlight w:val="none"/>
        </w:rPr>
        <w:t>且所投产品同为节能产品、环境标志产品、不发达地区或少数民族地区产品的，则采取评标委员会随机抽取的方式确定中标候选顺序。</w:t>
      </w:r>
    </w:p>
    <w:p w14:paraId="403EF69E">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确定中标候选人和中标人</w:t>
      </w:r>
    </w:p>
    <w:p w14:paraId="4A87D4D4">
      <w:pPr>
        <w:spacing w:line="360" w:lineRule="auto"/>
        <w:ind w:firstLine="435"/>
        <w:rPr>
          <w:rFonts w:hint="eastAsia"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.1评标委员会将根据评标标准，按</w:t>
      </w:r>
      <w:r>
        <w:rPr>
          <w:rFonts w:asciiTheme="minorEastAsia" w:hAnsiTheme="minorEastAsia" w:eastAsiaTheme="minorEastAsia"/>
          <w:color w:val="auto"/>
          <w:sz w:val="24"/>
          <w:highlight w:val="none"/>
          <w:u w:val="single"/>
        </w:rPr>
        <w:t>投标</w:t>
      </w:r>
      <w:r>
        <w:rPr>
          <w:rFonts w:hint="eastAsia" w:asciiTheme="minorEastAsia" w:hAnsiTheme="minorEastAsia" w:eastAsiaTheme="minorEastAsia"/>
          <w:color w:val="auto"/>
          <w:sz w:val="24"/>
          <w:highlight w:val="none"/>
          <w:u w:val="single"/>
        </w:rPr>
        <w:t>人</w:t>
      </w:r>
      <w:r>
        <w:rPr>
          <w:rFonts w:asciiTheme="minorEastAsia" w:hAnsiTheme="minorEastAsia" w:eastAsiaTheme="minorEastAsia"/>
          <w:color w:val="auto"/>
          <w:sz w:val="24"/>
          <w:highlight w:val="none"/>
          <w:u w:val="single"/>
        </w:rPr>
        <w:t>须知前附表</w:t>
      </w:r>
      <w:r>
        <w:rPr>
          <w:rFonts w:asciiTheme="minorEastAsia" w:hAnsiTheme="minorEastAsia" w:eastAsiaTheme="minorEastAsia"/>
          <w:color w:val="auto"/>
          <w:sz w:val="24"/>
          <w:highlight w:val="none"/>
        </w:rPr>
        <w:t>中规定数量推荐中标候选人。</w:t>
      </w:r>
    </w:p>
    <w:p w14:paraId="57FCA327">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21.2按</w:t>
      </w:r>
      <w:r>
        <w:rPr>
          <w:rFonts w:asciiTheme="minorEastAsia" w:hAnsiTheme="minorEastAsia" w:eastAsiaTheme="minorEastAsia"/>
          <w:color w:val="auto"/>
          <w:sz w:val="24"/>
          <w:highlight w:val="none"/>
          <w:u w:val="single"/>
        </w:rPr>
        <w:t>投标</w:t>
      </w:r>
      <w:r>
        <w:rPr>
          <w:rFonts w:hint="eastAsia" w:asciiTheme="minorEastAsia" w:hAnsiTheme="minorEastAsia" w:eastAsiaTheme="minorEastAsia"/>
          <w:color w:val="auto"/>
          <w:sz w:val="24"/>
          <w:highlight w:val="none"/>
          <w:u w:val="single"/>
        </w:rPr>
        <w:t>人</w:t>
      </w:r>
      <w:r>
        <w:rPr>
          <w:rFonts w:asciiTheme="minorEastAsia" w:hAnsiTheme="minorEastAsia" w:eastAsiaTheme="minorEastAsia"/>
          <w:color w:val="auto"/>
          <w:sz w:val="24"/>
          <w:highlight w:val="none"/>
          <w:u w:val="single"/>
        </w:rPr>
        <w:t>须知前附表</w:t>
      </w:r>
      <w:r>
        <w:rPr>
          <w:rFonts w:hint="eastAsia" w:asciiTheme="minorEastAsia" w:hAnsiTheme="minorEastAsia" w:eastAsiaTheme="minorEastAsia"/>
          <w:color w:val="auto"/>
          <w:sz w:val="24"/>
          <w:highlight w:val="none"/>
        </w:rPr>
        <w:t>中规定，</w:t>
      </w:r>
      <w:r>
        <w:rPr>
          <w:rFonts w:asciiTheme="minorEastAsia" w:hAnsiTheme="minorEastAsia" w:eastAsiaTheme="minorEastAsia"/>
          <w:color w:val="auto"/>
          <w:sz w:val="24"/>
          <w:highlight w:val="none"/>
        </w:rPr>
        <w:t>由评标委员会或采购人确定中标人。</w:t>
      </w:r>
    </w:p>
    <w:p w14:paraId="120BFCB7">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w:t>
      </w:r>
      <w:r>
        <w:rPr>
          <w:rFonts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rPr>
        <w:t>因重大变故采购任务取消时，采购人有权拒绝任何投标人中标，且对受影响的投标人不承担任何责任。</w:t>
      </w:r>
    </w:p>
    <w:p w14:paraId="70EAC162">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22</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编写评标报告</w:t>
      </w:r>
    </w:p>
    <w:p w14:paraId="7909C2AF">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评标报告是根据全体评标委员会成员签字的原始评标记录和评标结果编写的报告，评标报告由评标委员会全体成员签字。对评标结论持有异议的评标委员会成员可以书面方式阐述其不同意见和理由。评标委员会成员拒绝在评标报告上签字且不陈述其不同意见和理由的，视为同意评标结论。</w:t>
      </w:r>
    </w:p>
    <w:p w14:paraId="067EBDF8">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23</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中标结果公告</w:t>
      </w:r>
    </w:p>
    <w:p w14:paraId="474A9974">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23</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除</w:t>
      </w:r>
      <w:r>
        <w:rPr>
          <w:rFonts w:asciiTheme="minorEastAsia" w:hAnsiTheme="minorEastAsia" w:eastAsiaTheme="minorEastAsia"/>
          <w:color w:val="auto"/>
          <w:sz w:val="24"/>
          <w:highlight w:val="none"/>
          <w:u w:val="single"/>
        </w:rPr>
        <w:t>投标</w:t>
      </w:r>
      <w:r>
        <w:rPr>
          <w:rFonts w:hint="eastAsia" w:asciiTheme="minorEastAsia" w:hAnsiTheme="minorEastAsia" w:eastAsiaTheme="minorEastAsia"/>
          <w:color w:val="auto"/>
          <w:sz w:val="24"/>
          <w:highlight w:val="none"/>
          <w:u w:val="single"/>
        </w:rPr>
        <w:t>人</w:t>
      </w:r>
      <w:r>
        <w:rPr>
          <w:rFonts w:asciiTheme="minorEastAsia" w:hAnsiTheme="minorEastAsia" w:eastAsiaTheme="minorEastAsia"/>
          <w:color w:val="auto"/>
          <w:sz w:val="24"/>
          <w:highlight w:val="none"/>
          <w:u w:val="single"/>
        </w:rPr>
        <w:t>须知前附表</w:t>
      </w:r>
      <w:r>
        <w:rPr>
          <w:rFonts w:asciiTheme="minorEastAsia" w:hAnsiTheme="minorEastAsia" w:eastAsiaTheme="minorEastAsia"/>
          <w:color w:val="auto"/>
          <w:sz w:val="24"/>
          <w:highlight w:val="none"/>
        </w:rPr>
        <w:t>规定由评标委员会直接确定中标</w:t>
      </w:r>
      <w:r>
        <w:rPr>
          <w:rFonts w:hint="eastAsia" w:asciiTheme="minorEastAsia" w:hAnsiTheme="minorEastAsia" w:eastAsiaTheme="minorEastAsia"/>
          <w:color w:val="auto"/>
          <w:sz w:val="24"/>
          <w:highlight w:val="none"/>
        </w:rPr>
        <w:t>人外，</w:t>
      </w:r>
      <w:r>
        <w:rPr>
          <w:rFonts w:asciiTheme="minorEastAsia" w:hAnsiTheme="minorEastAsia" w:eastAsiaTheme="minorEastAsia"/>
          <w:color w:val="auto"/>
          <w:sz w:val="24"/>
          <w:highlight w:val="none"/>
        </w:rPr>
        <w:t>在评标结束后2个工作日内</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采购代理机构将评标报告送采购人。采购人应当自收到评标报告之日起</w:t>
      </w: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个工作日内，在评标报告确定的中标候选人名单中按顺序确定中标人。中标候选人并列的，由采购人或者采购人委托评标委员会按照招标文件规定的方式确定中标人；招标文件未规定的，采取随机抽取的方式确定。</w:t>
      </w:r>
    </w:p>
    <w:p w14:paraId="13EDC020">
      <w:pPr>
        <w:spacing w:line="360" w:lineRule="auto"/>
        <w:ind w:firstLine="435"/>
        <w:rPr>
          <w:rFonts w:hint="eastAsia" w:ascii="宋体" w:hAnsi="宋体" w:eastAsia="宋体"/>
          <w:color w:val="auto"/>
          <w:sz w:val="24"/>
          <w:szCs w:val="18"/>
          <w:highlight w:val="none"/>
        </w:rPr>
      </w:pPr>
      <w:r>
        <w:rPr>
          <w:rFonts w:hint="eastAsia" w:asciiTheme="minorEastAsia" w:hAnsiTheme="minorEastAsia" w:eastAsiaTheme="minorEastAsia"/>
          <w:color w:val="auto"/>
          <w:sz w:val="24"/>
          <w:highlight w:val="none"/>
        </w:rPr>
        <w:t>23</w:t>
      </w:r>
      <w:r>
        <w:rPr>
          <w:rFonts w:asciiTheme="minorEastAsia" w:hAnsiTheme="minorEastAsia" w:eastAsiaTheme="minorEastAsia"/>
          <w:color w:val="auto"/>
          <w:sz w:val="24"/>
          <w:highlight w:val="none"/>
        </w:rPr>
        <w:t>.2</w:t>
      </w:r>
      <w:r>
        <w:rPr>
          <w:rFonts w:hint="eastAsia" w:ascii="宋体" w:hAnsi="宋体" w:eastAsia="宋体"/>
          <w:color w:val="auto"/>
          <w:sz w:val="24"/>
          <w:szCs w:val="18"/>
          <w:highlight w:val="none"/>
        </w:rPr>
        <w:t>自中标人确定之日起2个工作日内，</w:t>
      </w:r>
      <w:r>
        <w:rPr>
          <w:rFonts w:ascii="宋体" w:hAnsi="宋体" w:eastAsia="宋体"/>
          <w:color w:val="auto"/>
          <w:sz w:val="24"/>
          <w:szCs w:val="18"/>
          <w:highlight w:val="none"/>
        </w:rPr>
        <w:t>采购代理机构将在淮北市公共资源交易中心网站和安徽省政府采购网（www.ccgp-anhui.gov.cn）上发布中标结果公告</w:t>
      </w:r>
      <w:r>
        <w:rPr>
          <w:rFonts w:hint="eastAsia" w:ascii="宋体" w:hAnsi="宋体" w:eastAsia="宋体"/>
          <w:color w:val="auto"/>
          <w:sz w:val="24"/>
          <w:szCs w:val="18"/>
          <w:highlight w:val="none"/>
        </w:rPr>
        <w:t>。</w:t>
      </w:r>
    </w:p>
    <w:p w14:paraId="22F03BF5">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23.3</w:t>
      </w:r>
      <w:r>
        <w:rPr>
          <w:rFonts w:asciiTheme="minorEastAsia" w:hAnsiTheme="minorEastAsia" w:eastAsiaTheme="minorEastAsia"/>
          <w:color w:val="auto"/>
          <w:sz w:val="24"/>
          <w:highlight w:val="none"/>
        </w:rPr>
        <w:t>中标结果公告内容应当包括采购人及其委托的采购代理机构的名称、地址、联系方式，项目名称和项目编号，中标人名称、地址和中标金额，主要中标标的的名称、规格型号、数量、单价、服务要求，中标公告期限、评审专家名单以及</w:t>
      </w:r>
      <w:r>
        <w:rPr>
          <w:rFonts w:hint="eastAsia" w:asciiTheme="minorEastAsia" w:hAnsiTheme="minorEastAsia" w:eastAsiaTheme="minorEastAsia"/>
          <w:color w:val="auto"/>
          <w:sz w:val="24"/>
          <w:highlight w:val="none"/>
          <w:u w:val="single"/>
        </w:rPr>
        <w:t>投标人须知前附表</w:t>
      </w:r>
      <w:r>
        <w:rPr>
          <w:rFonts w:asciiTheme="minorEastAsia" w:hAnsiTheme="minorEastAsia" w:eastAsiaTheme="minorEastAsia"/>
          <w:color w:val="auto"/>
          <w:sz w:val="24"/>
          <w:highlight w:val="none"/>
        </w:rPr>
        <w:t>中约定进行公告的内容。中标公告期限为1个工作日。</w:t>
      </w:r>
    </w:p>
    <w:p w14:paraId="7538DF8C">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24</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中标通知书</w:t>
      </w:r>
    </w:p>
    <w:p w14:paraId="21E4EAE2">
      <w:pPr>
        <w:spacing w:line="360" w:lineRule="auto"/>
        <w:ind w:firstLine="435"/>
        <w:rPr>
          <w:rFonts w:hint="eastAsia"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.1采购代理机构</w:t>
      </w:r>
      <w:r>
        <w:rPr>
          <w:rFonts w:ascii="宋体" w:hAnsi="宋体" w:eastAsia="宋体"/>
          <w:color w:val="auto"/>
          <w:sz w:val="24"/>
          <w:highlight w:val="none"/>
        </w:rPr>
        <w:t>发布</w:t>
      </w:r>
      <w:r>
        <w:rPr>
          <w:rFonts w:asciiTheme="minorEastAsia" w:hAnsiTheme="minorEastAsia" w:eastAsiaTheme="minorEastAsia"/>
          <w:color w:val="auto"/>
          <w:sz w:val="24"/>
          <w:highlight w:val="none"/>
        </w:rPr>
        <w:t>中标结果公告</w:t>
      </w:r>
      <w:r>
        <w:rPr>
          <w:rFonts w:hint="eastAsia" w:asciiTheme="minorEastAsia" w:hAnsiTheme="minorEastAsia" w:eastAsiaTheme="minorEastAsia"/>
          <w:iCs/>
          <w:color w:val="auto"/>
          <w:sz w:val="24"/>
          <w:highlight w:val="none"/>
        </w:rPr>
        <w:t>的</w:t>
      </w:r>
      <w:r>
        <w:rPr>
          <w:rFonts w:asciiTheme="minorEastAsia" w:hAnsiTheme="minorEastAsia" w:eastAsiaTheme="minorEastAsia"/>
          <w:color w:val="auto"/>
          <w:sz w:val="24"/>
          <w:highlight w:val="none"/>
        </w:rPr>
        <w:t>同时以</w:t>
      </w:r>
      <w:r>
        <w:rPr>
          <w:rFonts w:hint="eastAsia" w:asciiTheme="minorEastAsia" w:hAnsiTheme="minorEastAsia" w:eastAsiaTheme="minorEastAsia"/>
          <w:color w:val="auto"/>
          <w:sz w:val="24"/>
          <w:highlight w:val="none"/>
          <w:u w:val="single"/>
        </w:rPr>
        <w:t>投标人须知前附表</w:t>
      </w:r>
      <w:r>
        <w:rPr>
          <w:rFonts w:hint="eastAsia" w:asciiTheme="minorEastAsia" w:hAnsiTheme="minorEastAsia" w:eastAsiaTheme="minorEastAsia"/>
          <w:color w:val="auto"/>
          <w:sz w:val="24"/>
          <w:highlight w:val="none"/>
        </w:rPr>
        <w:t>规定的</w:t>
      </w:r>
      <w:r>
        <w:rPr>
          <w:rFonts w:asciiTheme="minorEastAsia" w:hAnsiTheme="minorEastAsia" w:eastAsiaTheme="minorEastAsia"/>
          <w:color w:val="auto"/>
          <w:sz w:val="24"/>
          <w:highlight w:val="none"/>
        </w:rPr>
        <w:t>形式向中标人发出中标通知书。</w:t>
      </w:r>
    </w:p>
    <w:p w14:paraId="66139EAA">
      <w:pPr>
        <w:spacing w:line="360" w:lineRule="auto"/>
        <w:ind w:firstLine="435"/>
        <w:rPr>
          <w:rFonts w:hint="eastAsia"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.2中标通知书对采购人和中标</w:t>
      </w:r>
      <w:r>
        <w:rPr>
          <w:rFonts w:hint="eastAsia" w:asciiTheme="minorEastAsia" w:hAnsiTheme="minorEastAsia" w:eastAsiaTheme="minorEastAsia"/>
          <w:color w:val="auto"/>
          <w:sz w:val="24"/>
          <w:highlight w:val="none"/>
        </w:rPr>
        <w:t>人</w:t>
      </w:r>
      <w:r>
        <w:rPr>
          <w:rFonts w:asciiTheme="minorEastAsia" w:hAnsiTheme="minorEastAsia" w:eastAsiaTheme="minorEastAsia"/>
          <w:color w:val="auto"/>
          <w:sz w:val="24"/>
          <w:highlight w:val="none"/>
        </w:rPr>
        <w:t>具有同等法律效力。中标通知书发出以后，采购人改变中标结果或者中标</w:t>
      </w:r>
      <w:r>
        <w:rPr>
          <w:rFonts w:hint="eastAsia" w:asciiTheme="minorEastAsia" w:hAnsiTheme="minorEastAsia" w:eastAsiaTheme="minorEastAsia"/>
          <w:color w:val="auto"/>
          <w:sz w:val="24"/>
          <w:highlight w:val="none"/>
        </w:rPr>
        <w:t>人</w:t>
      </w:r>
      <w:r>
        <w:rPr>
          <w:rFonts w:asciiTheme="minorEastAsia" w:hAnsiTheme="minorEastAsia" w:eastAsiaTheme="minorEastAsia"/>
          <w:color w:val="auto"/>
          <w:sz w:val="24"/>
          <w:highlight w:val="none"/>
        </w:rPr>
        <w:t>放弃中标，应当承担相应的法律责任。</w:t>
      </w:r>
    </w:p>
    <w:p w14:paraId="19BAD34D">
      <w:pPr>
        <w:spacing w:line="360" w:lineRule="auto"/>
        <w:ind w:firstLine="435"/>
        <w:rPr>
          <w:rFonts w:hint="eastAsia"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.3中标通知书是</w:t>
      </w:r>
      <w:r>
        <w:rPr>
          <w:rFonts w:ascii="宋体" w:hAnsi="宋体" w:eastAsia="宋体"/>
          <w:color w:val="auto"/>
          <w:sz w:val="24"/>
          <w:highlight w:val="none"/>
        </w:rPr>
        <w:t>合同</w:t>
      </w:r>
      <w:r>
        <w:rPr>
          <w:rFonts w:asciiTheme="minorEastAsia" w:hAnsiTheme="minorEastAsia" w:eastAsiaTheme="minorEastAsia"/>
          <w:color w:val="auto"/>
          <w:sz w:val="24"/>
          <w:highlight w:val="none"/>
        </w:rPr>
        <w:t>的组成部分。</w:t>
      </w:r>
    </w:p>
    <w:p w14:paraId="2F48E7E5">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25</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告知招标结果</w:t>
      </w:r>
    </w:p>
    <w:p w14:paraId="1AF51B81">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25</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在公告</w:t>
      </w:r>
      <w:r>
        <w:rPr>
          <w:rFonts w:asciiTheme="minorEastAsia" w:hAnsiTheme="minorEastAsia" w:eastAsiaTheme="minorEastAsia"/>
          <w:color w:val="auto"/>
          <w:sz w:val="24"/>
          <w:highlight w:val="none"/>
        </w:rPr>
        <w:t>中标结果的同时，采购代理机构同时以</w:t>
      </w:r>
      <w:r>
        <w:rPr>
          <w:rFonts w:hint="eastAsia" w:asciiTheme="minorEastAsia" w:hAnsiTheme="minorEastAsia" w:eastAsiaTheme="minorEastAsia"/>
          <w:color w:val="auto"/>
          <w:sz w:val="24"/>
          <w:highlight w:val="none"/>
          <w:u w:val="single"/>
        </w:rPr>
        <w:t>投标人须知前附表</w:t>
      </w:r>
      <w:r>
        <w:rPr>
          <w:rFonts w:hint="eastAsia" w:asciiTheme="minorEastAsia" w:hAnsiTheme="minorEastAsia" w:eastAsiaTheme="minorEastAsia"/>
          <w:color w:val="auto"/>
          <w:sz w:val="24"/>
          <w:highlight w:val="none"/>
        </w:rPr>
        <w:t>规定的</w:t>
      </w:r>
      <w:r>
        <w:rPr>
          <w:rFonts w:asciiTheme="minorEastAsia" w:hAnsiTheme="minorEastAsia" w:eastAsiaTheme="minorEastAsia"/>
          <w:color w:val="auto"/>
          <w:sz w:val="24"/>
          <w:highlight w:val="none"/>
        </w:rPr>
        <w:t>形式</w:t>
      </w:r>
      <w:r>
        <w:rPr>
          <w:rFonts w:hint="eastAsia" w:asciiTheme="minorEastAsia" w:hAnsiTheme="minorEastAsia" w:eastAsiaTheme="minorEastAsia"/>
          <w:color w:val="auto"/>
          <w:sz w:val="24"/>
          <w:highlight w:val="none"/>
        </w:rPr>
        <w:t>告知未通过资格审查的投标人未通过的原因；采用综合评分法评审的，还将告知未中标人本人的评审得分和排序。</w:t>
      </w:r>
    </w:p>
    <w:p w14:paraId="482CD923">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26</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履约保证金</w:t>
      </w:r>
    </w:p>
    <w:p w14:paraId="7B92F32C">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26.1中标人应按照</w:t>
      </w:r>
      <w:r>
        <w:rPr>
          <w:rFonts w:hint="eastAsia" w:asciiTheme="minorEastAsia" w:hAnsiTheme="minorEastAsia" w:eastAsiaTheme="minorEastAsia"/>
          <w:color w:val="auto"/>
          <w:sz w:val="24"/>
          <w:highlight w:val="none"/>
          <w:u w:val="single"/>
        </w:rPr>
        <w:t>投标人须知前附表</w:t>
      </w:r>
      <w:r>
        <w:rPr>
          <w:rFonts w:hint="eastAsia" w:asciiTheme="minorEastAsia" w:hAnsiTheme="minorEastAsia" w:eastAsiaTheme="minorEastAsia"/>
          <w:color w:val="auto"/>
          <w:sz w:val="24"/>
          <w:highlight w:val="none"/>
        </w:rPr>
        <w:t>规定缴纳履约保证金。</w:t>
      </w:r>
    </w:p>
    <w:p w14:paraId="4F87C88F">
      <w:pPr>
        <w:spacing w:line="360" w:lineRule="auto"/>
        <w:ind w:firstLine="435"/>
        <w:rPr>
          <w:rFonts w:hint="eastAsia" w:asciiTheme="minorEastAsia" w:hAnsiTheme="minorEastAsia" w:eastAsiaTheme="minorEastAsia"/>
          <w:b/>
          <w:color w:val="auto"/>
          <w:sz w:val="24"/>
          <w:highlight w:val="none"/>
        </w:rPr>
      </w:pPr>
      <w:r>
        <w:rPr>
          <w:rFonts w:hint="eastAsia" w:asciiTheme="minorEastAsia" w:hAnsiTheme="minorEastAsia" w:eastAsiaTheme="minorEastAsia"/>
          <w:color w:val="auto"/>
          <w:sz w:val="24"/>
          <w:highlight w:val="none"/>
        </w:rPr>
        <w:t>26.</w:t>
      </w:r>
      <w:r>
        <w:rPr>
          <w:rFonts w:asciiTheme="minorEastAsia" w:hAnsiTheme="minorEastAsia" w:eastAsiaTheme="minorEastAsia"/>
          <w:color w:val="auto"/>
          <w:sz w:val="24"/>
          <w:highlight w:val="none"/>
        </w:rPr>
        <w:t>2</w:t>
      </w:r>
      <w:r>
        <w:rPr>
          <w:rFonts w:hint="eastAsia" w:ascii="宋体" w:hAnsi="宋体" w:eastAsia="宋体"/>
          <w:color w:val="auto"/>
          <w:sz w:val="24"/>
          <w:highlight w:val="none"/>
        </w:rPr>
        <w:t>如果</w:t>
      </w:r>
      <w:r>
        <w:rPr>
          <w:rFonts w:hint="eastAsia" w:asciiTheme="minorEastAsia" w:hAnsiTheme="minorEastAsia" w:eastAsiaTheme="minorEastAsia"/>
          <w:color w:val="auto"/>
          <w:sz w:val="24"/>
          <w:highlight w:val="none"/>
        </w:rPr>
        <w:t>中标人没有按照上述履约保证金的规定执行，将视为放弃中标资格。在此情况下，采购人可</w:t>
      </w:r>
      <w:r>
        <w:rPr>
          <w:rFonts w:asciiTheme="minorEastAsia" w:hAnsiTheme="minorEastAsia" w:eastAsiaTheme="minorEastAsia"/>
          <w:color w:val="auto"/>
          <w:sz w:val="24"/>
          <w:highlight w:val="none"/>
        </w:rPr>
        <w:t>确定下一</w:t>
      </w:r>
      <w:r>
        <w:rPr>
          <w:rFonts w:hint="eastAsia" w:ascii="宋体" w:hAnsi="宋体" w:eastAsia="宋体"/>
          <w:color w:val="auto"/>
          <w:sz w:val="24"/>
          <w:highlight w:val="none"/>
        </w:rPr>
        <w:t>中标</w:t>
      </w:r>
      <w:r>
        <w:rPr>
          <w:rFonts w:hint="eastAsia" w:asciiTheme="minorEastAsia" w:hAnsiTheme="minorEastAsia" w:eastAsiaTheme="minorEastAsia"/>
          <w:color w:val="auto"/>
          <w:sz w:val="24"/>
          <w:highlight w:val="none"/>
        </w:rPr>
        <w:t>候选</w:t>
      </w:r>
      <w:r>
        <w:rPr>
          <w:rFonts w:asciiTheme="minorEastAsia" w:hAnsiTheme="minorEastAsia" w:eastAsiaTheme="minorEastAsia"/>
          <w:color w:val="auto"/>
          <w:sz w:val="24"/>
          <w:highlight w:val="none"/>
        </w:rPr>
        <w:t>人为中标</w:t>
      </w:r>
      <w:r>
        <w:rPr>
          <w:rFonts w:hint="eastAsia" w:asciiTheme="minorEastAsia" w:hAnsiTheme="minorEastAsia" w:eastAsiaTheme="minorEastAsia"/>
          <w:color w:val="auto"/>
          <w:sz w:val="24"/>
          <w:highlight w:val="none"/>
        </w:rPr>
        <w:t>人</w:t>
      </w:r>
      <w:r>
        <w:rPr>
          <w:rFonts w:asciiTheme="minorEastAsia" w:hAnsiTheme="minorEastAsia" w:eastAsiaTheme="minorEastAsia"/>
          <w:color w:val="auto"/>
          <w:sz w:val="24"/>
          <w:highlight w:val="none"/>
        </w:rPr>
        <w:t>，也可以重新开展采购活动。</w:t>
      </w:r>
    </w:p>
    <w:p w14:paraId="2725ED3E">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27</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签订合同</w:t>
      </w:r>
    </w:p>
    <w:p w14:paraId="750B2E73">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27.1</w:t>
      </w:r>
      <w:r>
        <w:rPr>
          <w:rFonts w:hint="eastAsia" w:ascii="宋体" w:hAnsi="宋体" w:eastAsia="宋体" w:cs="宋体"/>
          <w:color w:val="auto"/>
          <w:sz w:val="24"/>
          <w:szCs w:val="24"/>
          <w:highlight w:val="none"/>
        </w:rPr>
        <w:t>采购人与中标人应当按照</w:t>
      </w:r>
      <w:r>
        <w:rPr>
          <w:rFonts w:hint="eastAsia" w:ascii="宋体" w:hAnsi="宋体" w:eastAsia="宋体" w:cs="宋体"/>
          <w:color w:val="auto"/>
          <w:sz w:val="24"/>
          <w:szCs w:val="24"/>
          <w:highlight w:val="none"/>
          <w:u w:val="single"/>
        </w:rPr>
        <w:t>投标人须知前附表</w:t>
      </w:r>
      <w:r>
        <w:rPr>
          <w:rFonts w:hint="eastAsia" w:ascii="宋体" w:hAnsi="宋体" w:eastAsia="宋体" w:cs="宋体"/>
          <w:color w:val="auto"/>
          <w:sz w:val="24"/>
          <w:szCs w:val="24"/>
          <w:highlight w:val="none"/>
        </w:rPr>
        <w:t>规定的时间内完成政府采购合同签订及合同公告。</w:t>
      </w:r>
    </w:p>
    <w:p w14:paraId="4901E431">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27.2招标文件、中标人的投标文件及其澄清文件等，均为签订合同的依据。</w:t>
      </w:r>
    </w:p>
    <w:p w14:paraId="689C13B9">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27.3中</w:t>
      </w:r>
      <w:r>
        <w:rPr>
          <w:rFonts w:ascii="宋体" w:hAnsi="宋体" w:eastAsia="宋体"/>
          <w:color w:val="auto"/>
          <w:sz w:val="24"/>
          <w:highlight w:val="none"/>
        </w:rPr>
        <w:t>标</w:t>
      </w:r>
      <w:r>
        <w:rPr>
          <w:rFonts w:hint="eastAsia" w:ascii="宋体" w:hAnsi="宋体" w:eastAsia="宋体"/>
          <w:color w:val="auto"/>
          <w:sz w:val="24"/>
          <w:highlight w:val="none"/>
        </w:rPr>
        <w:t>人</w:t>
      </w:r>
      <w:r>
        <w:rPr>
          <w:rFonts w:ascii="宋体" w:hAnsi="宋体" w:eastAsia="宋体"/>
          <w:color w:val="auto"/>
          <w:sz w:val="24"/>
          <w:highlight w:val="none"/>
        </w:rPr>
        <w:t>拒绝与采购人签订合同的，采购人可以按照评审报告推荐的中标候选人</w:t>
      </w:r>
      <w:r>
        <w:rPr>
          <w:rFonts w:hint="eastAsia" w:ascii="宋体" w:hAnsi="宋体" w:eastAsia="宋体"/>
          <w:color w:val="auto"/>
          <w:sz w:val="24"/>
          <w:highlight w:val="none"/>
        </w:rPr>
        <w:t>名单</w:t>
      </w:r>
      <w:r>
        <w:rPr>
          <w:rFonts w:ascii="宋体" w:hAnsi="宋体" w:eastAsia="宋体"/>
          <w:color w:val="auto"/>
          <w:sz w:val="24"/>
          <w:highlight w:val="none"/>
        </w:rPr>
        <w:t>排序</w:t>
      </w:r>
      <w:r>
        <w:rPr>
          <w:rFonts w:hint="eastAsia" w:ascii="宋体" w:hAnsi="宋体" w:eastAsia="宋体"/>
          <w:color w:val="auto"/>
          <w:sz w:val="24"/>
          <w:highlight w:val="none"/>
        </w:rPr>
        <w:t>，</w:t>
      </w:r>
      <w:r>
        <w:rPr>
          <w:rFonts w:ascii="宋体" w:hAnsi="宋体" w:eastAsia="宋体"/>
          <w:color w:val="auto"/>
          <w:sz w:val="24"/>
          <w:highlight w:val="none"/>
        </w:rPr>
        <w:t>确定下一</w:t>
      </w:r>
      <w:r>
        <w:rPr>
          <w:rFonts w:hint="eastAsia" w:ascii="宋体" w:hAnsi="宋体" w:eastAsia="宋体"/>
          <w:color w:val="auto"/>
          <w:sz w:val="24"/>
          <w:highlight w:val="none"/>
        </w:rPr>
        <w:t>中标候选</w:t>
      </w:r>
      <w:r>
        <w:rPr>
          <w:rFonts w:ascii="宋体" w:hAnsi="宋体" w:eastAsia="宋体"/>
          <w:color w:val="auto"/>
          <w:sz w:val="24"/>
          <w:highlight w:val="none"/>
        </w:rPr>
        <w:t>人为中标</w:t>
      </w:r>
      <w:r>
        <w:rPr>
          <w:rFonts w:hint="eastAsia" w:ascii="宋体" w:hAnsi="宋体" w:eastAsia="宋体"/>
          <w:color w:val="auto"/>
          <w:sz w:val="24"/>
          <w:highlight w:val="none"/>
        </w:rPr>
        <w:t>人</w:t>
      </w:r>
      <w:r>
        <w:rPr>
          <w:rFonts w:ascii="宋体" w:hAnsi="宋体" w:eastAsia="宋体"/>
          <w:color w:val="auto"/>
          <w:sz w:val="24"/>
          <w:highlight w:val="none"/>
        </w:rPr>
        <w:t>，也可以重新开展政府采购活动。</w:t>
      </w:r>
    </w:p>
    <w:p w14:paraId="46AD9DF0">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27.4依据《政府采购促进中小企业发展管理办法》（财库〔</w:t>
      </w:r>
      <w:r>
        <w:rPr>
          <w:rFonts w:ascii="宋体" w:hAnsi="宋体" w:eastAsia="宋体"/>
          <w:color w:val="auto"/>
          <w:sz w:val="24"/>
          <w:highlight w:val="none"/>
        </w:rPr>
        <w:t>2020〕46号</w:t>
      </w:r>
      <w:r>
        <w:rPr>
          <w:rFonts w:hint="eastAsia" w:ascii="宋体" w:hAnsi="宋体" w:eastAsia="宋体"/>
          <w:color w:val="auto"/>
          <w:sz w:val="24"/>
          <w:highlight w:val="none"/>
        </w:rPr>
        <w:t>）规定享受扶持政策获得政府采购合同的，小微企业不得将合同分包给大中型企业，中型企业不得将合同分包给大型企业。</w:t>
      </w:r>
    </w:p>
    <w:p w14:paraId="0D90D216">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28</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代理费用</w:t>
      </w:r>
    </w:p>
    <w:p w14:paraId="07D85DED">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28</w:t>
      </w:r>
      <w:r>
        <w:rPr>
          <w:rFonts w:ascii="宋体" w:hAnsi="宋体" w:eastAsia="宋体"/>
          <w:color w:val="auto"/>
          <w:sz w:val="24"/>
          <w:highlight w:val="none"/>
        </w:rPr>
        <w:t>.1</w:t>
      </w:r>
      <w:r>
        <w:rPr>
          <w:rFonts w:hint="eastAsia" w:ascii="宋体" w:hAnsi="宋体" w:eastAsia="宋体"/>
          <w:color w:val="auto"/>
          <w:sz w:val="24"/>
          <w:highlight w:val="none"/>
        </w:rPr>
        <w:t>本项目代理费用的收取按</w:t>
      </w:r>
      <w:r>
        <w:rPr>
          <w:rFonts w:hint="eastAsia" w:asciiTheme="minorEastAsia" w:hAnsiTheme="minorEastAsia" w:eastAsiaTheme="minorEastAsia"/>
          <w:color w:val="auto"/>
          <w:sz w:val="24"/>
          <w:highlight w:val="none"/>
          <w:u w:val="single"/>
        </w:rPr>
        <w:t>投标人须知前附表的</w:t>
      </w:r>
      <w:r>
        <w:rPr>
          <w:rFonts w:hint="eastAsia" w:ascii="宋体" w:hAnsi="宋体" w:eastAsia="宋体"/>
          <w:color w:val="auto"/>
          <w:sz w:val="24"/>
          <w:highlight w:val="none"/>
        </w:rPr>
        <w:t>规定执行</w:t>
      </w:r>
      <w:r>
        <w:rPr>
          <w:rFonts w:hint="eastAsia" w:asciiTheme="minorEastAsia" w:hAnsiTheme="minorEastAsia" w:eastAsiaTheme="minorEastAsia"/>
          <w:color w:val="auto"/>
          <w:sz w:val="24"/>
          <w:highlight w:val="none"/>
        </w:rPr>
        <w:t>。</w:t>
      </w:r>
    </w:p>
    <w:p w14:paraId="12980EF6">
      <w:pPr>
        <w:spacing w:line="360" w:lineRule="auto"/>
        <w:ind w:firstLine="437"/>
        <w:outlineLvl w:val="2"/>
        <w:rPr>
          <w:rFonts w:hint="eastAsia" w:asciiTheme="minorEastAsia" w:hAnsiTheme="minorEastAsia" w:eastAsiaTheme="minorEastAsia"/>
          <w:b/>
          <w:color w:val="auto"/>
          <w:sz w:val="24"/>
          <w:highlight w:val="none"/>
        </w:rPr>
      </w:pPr>
      <w:bookmarkStart w:id="36" w:name="_Toc518923100"/>
      <w:bookmarkStart w:id="37" w:name="_Toc2583661"/>
      <w:r>
        <w:rPr>
          <w:rFonts w:hint="eastAsia" w:asciiTheme="minorEastAsia" w:hAnsiTheme="minorEastAsia" w:eastAsiaTheme="minorEastAsia"/>
          <w:b/>
          <w:color w:val="auto"/>
          <w:sz w:val="24"/>
          <w:highlight w:val="none"/>
        </w:rPr>
        <w:t>29.廉洁自律</w:t>
      </w:r>
      <w:r>
        <w:rPr>
          <w:rFonts w:asciiTheme="minorEastAsia" w:hAnsiTheme="minorEastAsia" w:eastAsiaTheme="minorEastAsia"/>
          <w:b/>
          <w:color w:val="auto"/>
          <w:sz w:val="24"/>
          <w:highlight w:val="none"/>
        </w:rPr>
        <w:t>规定</w:t>
      </w:r>
      <w:bookmarkEnd w:id="36"/>
      <w:bookmarkEnd w:id="37"/>
    </w:p>
    <w:p w14:paraId="6E82C03E">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29.1采购代理机构</w:t>
      </w:r>
      <w:r>
        <w:rPr>
          <w:rFonts w:ascii="宋体" w:hAnsi="宋体" w:eastAsia="宋体"/>
          <w:color w:val="auto"/>
          <w:sz w:val="24"/>
          <w:highlight w:val="none"/>
        </w:rPr>
        <w:t>工作人员</w:t>
      </w:r>
      <w:r>
        <w:rPr>
          <w:rFonts w:hint="eastAsia" w:ascii="宋体" w:hAnsi="宋体" w:eastAsia="宋体"/>
          <w:color w:val="auto"/>
          <w:sz w:val="24"/>
          <w:highlight w:val="none"/>
        </w:rPr>
        <w:t>不得以不正当手段获取政府采购代理业务，不得与采购人、供应商恶意串通。</w:t>
      </w:r>
    </w:p>
    <w:p w14:paraId="2915F24D">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29.</w:t>
      </w:r>
      <w:r>
        <w:rPr>
          <w:rFonts w:ascii="宋体" w:hAnsi="宋体" w:eastAsia="宋体"/>
          <w:color w:val="auto"/>
          <w:sz w:val="24"/>
          <w:highlight w:val="none"/>
        </w:rPr>
        <w:t>2</w:t>
      </w:r>
      <w:r>
        <w:rPr>
          <w:rFonts w:hint="eastAsia" w:ascii="宋体" w:hAnsi="宋体" w:eastAsia="宋体"/>
          <w:color w:val="auto"/>
          <w:sz w:val="24"/>
          <w:highlight w:val="none"/>
        </w:rPr>
        <w:t>采购代理机构工作人员不得接受采购人或者供应商组织的宴请、旅游、娱乐，不得收受礼品、现金、有价证券等，不得向采购人或者供应商报销应当由个人承担的费用。</w:t>
      </w:r>
    </w:p>
    <w:p w14:paraId="49FD3D7A">
      <w:pPr>
        <w:spacing w:line="360" w:lineRule="auto"/>
        <w:ind w:firstLine="437"/>
        <w:outlineLvl w:val="2"/>
        <w:rPr>
          <w:rFonts w:hint="eastAsia" w:asciiTheme="minorEastAsia" w:hAnsiTheme="minorEastAsia" w:eastAsiaTheme="minorEastAsia"/>
          <w:b/>
          <w:color w:val="auto"/>
          <w:sz w:val="24"/>
          <w:highlight w:val="none"/>
        </w:rPr>
      </w:pPr>
      <w:bookmarkStart w:id="38" w:name="_Toc2583662"/>
      <w:bookmarkStart w:id="39" w:name="_Toc518923101"/>
      <w:r>
        <w:rPr>
          <w:rFonts w:hint="eastAsia" w:asciiTheme="minorEastAsia" w:hAnsiTheme="minorEastAsia" w:eastAsiaTheme="minorEastAsia"/>
          <w:b/>
          <w:color w:val="auto"/>
          <w:sz w:val="24"/>
          <w:highlight w:val="none"/>
        </w:rPr>
        <w:t>30.人员回避</w:t>
      </w:r>
      <w:bookmarkEnd w:id="38"/>
      <w:bookmarkEnd w:id="39"/>
    </w:p>
    <w:p w14:paraId="132C526E">
      <w:pPr>
        <w:spacing w:line="360" w:lineRule="auto"/>
        <w:ind w:firstLine="435"/>
        <w:rPr>
          <w:rFonts w:hint="eastAsia" w:ascii="仿宋_GB2312" w:hAnsi="宋体" w:eastAsia="仿宋_GB2312"/>
          <w:color w:val="auto"/>
          <w:sz w:val="24"/>
          <w:highlight w:val="none"/>
        </w:rPr>
      </w:pPr>
      <w:r>
        <w:rPr>
          <w:rFonts w:hint="eastAsia" w:ascii="宋体" w:hAnsi="宋体" w:eastAsia="宋体"/>
          <w:color w:val="auto"/>
          <w:sz w:val="24"/>
          <w:highlight w:val="none"/>
        </w:rPr>
        <w:t>投标人</w:t>
      </w:r>
      <w:r>
        <w:rPr>
          <w:rFonts w:ascii="宋体" w:hAnsi="宋体" w:eastAsia="宋体"/>
          <w:color w:val="auto"/>
          <w:sz w:val="24"/>
          <w:highlight w:val="none"/>
        </w:rPr>
        <w:t>认为采购人员</w:t>
      </w:r>
      <w:r>
        <w:rPr>
          <w:rFonts w:hint="eastAsia" w:ascii="宋体" w:hAnsi="宋体" w:eastAsia="宋体"/>
          <w:color w:val="auto"/>
          <w:sz w:val="24"/>
          <w:highlight w:val="none"/>
        </w:rPr>
        <w:t>及其</w:t>
      </w:r>
      <w:r>
        <w:rPr>
          <w:rFonts w:ascii="宋体" w:hAnsi="宋体" w:eastAsia="宋体"/>
          <w:color w:val="auto"/>
          <w:sz w:val="24"/>
          <w:highlight w:val="none"/>
        </w:rPr>
        <w:t>相关人员有</w:t>
      </w:r>
      <w:r>
        <w:rPr>
          <w:rFonts w:hint="eastAsia" w:ascii="宋体" w:hAnsi="宋体" w:eastAsia="宋体"/>
          <w:color w:val="auto"/>
          <w:sz w:val="24"/>
          <w:highlight w:val="none"/>
        </w:rPr>
        <w:t>法律</w:t>
      </w:r>
      <w:r>
        <w:rPr>
          <w:rFonts w:ascii="宋体" w:hAnsi="宋体" w:eastAsia="宋体"/>
          <w:color w:val="auto"/>
          <w:sz w:val="24"/>
          <w:highlight w:val="none"/>
        </w:rPr>
        <w:t>法规所列与其他供应商</w:t>
      </w:r>
      <w:r>
        <w:rPr>
          <w:rFonts w:hint="eastAsia" w:ascii="宋体" w:hAnsi="宋体" w:eastAsia="宋体"/>
          <w:color w:val="auto"/>
          <w:sz w:val="24"/>
          <w:highlight w:val="none"/>
        </w:rPr>
        <w:t>有</w:t>
      </w:r>
      <w:r>
        <w:rPr>
          <w:rFonts w:ascii="宋体" w:hAnsi="宋体" w:eastAsia="宋体"/>
          <w:color w:val="auto"/>
          <w:sz w:val="24"/>
          <w:highlight w:val="none"/>
        </w:rPr>
        <w:t>利害关系的，可以向</w:t>
      </w:r>
      <w:r>
        <w:rPr>
          <w:rFonts w:hint="eastAsia" w:ascii="宋体" w:hAnsi="宋体" w:eastAsia="宋体"/>
          <w:color w:val="auto"/>
          <w:sz w:val="24"/>
          <w:highlight w:val="none"/>
        </w:rPr>
        <w:t>采购人或</w:t>
      </w:r>
      <w:r>
        <w:rPr>
          <w:rFonts w:ascii="宋体" w:hAnsi="宋体" w:eastAsia="宋体"/>
          <w:color w:val="auto"/>
          <w:sz w:val="24"/>
          <w:highlight w:val="none"/>
        </w:rPr>
        <w:t>采购代理机构书面提出回避申请，并说明理由。</w:t>
      </w:r>
    </w:p>
    <w:p w14:paraId="26630906">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31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质疑的提出与接收</w:t>
      </w:r>
    </w:p>
    <w:p w14:paraId="405DF476">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31.1投标人认为招标文件、招标过程和中标结果使自己的权益受到损害的，可以在知道或者应知其权益受到损害之日起七个工作日内，以书面形式向采购人或其委托的采购代理机构提出质疑。</w:t>
      </w:r>
    </w:p>
    <w:p w14:paraId="6F781F11">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31.2质疑供应商应按照财政部制定的《政府采购供应商质疑函范本》格式（详见招标文件）和《政府采购质疑和投诉办法》的要求，在法定质疑期内以书面形式提出质疑，超出法定质疑期提交的质疑将被拒绝。针对同一采购程序环节的质疑应一次性提出。</w:t>
      </w:r>
    </w:p>
    <w:p w14:paraId="6E4CC4F6">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31.3采购代理机构质疑函接收部门、联系电话和通讯地址，见</w:t>
      </w:r>
      <w:r>
        <w:rPr>
          <w:rFonts w:hint="eastAsia" w:ascii="宋体" w:hAnsi="宋体" w:eastAsia="宋体"/>
          <w:color w:val="auto"/>
          <w:sz w:val="24"/>
          <w:highlight w:val="none"/>
          <w:u w:val="single"/>
        </w:rPr>
        <w:t>投标人须知前附表</w:t>
      </w:r>
      <w:r>
        <w:rPr>
          <w:rFonts w:hint="eastAsia" w:ascii="宋体" w:hAnsi="宋体" w:eastAsia="宋体"/>
          <w:color w:val="auto"/>
          <w:sz w:val="24"/>
          <w:highlight w:val="none"/>
        </w:rPr>
        <w:t>。</w:t>
      </w:r>
    </w:p>
    <w:p w14:paraId="122CFFE4">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注：上述条款中所要求的书面形式包含通过电子交易系统递交方式。</w:t>
      </w:r>
    </w:p>
    <w:p w14:paraId="63617E4E">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32</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需要补充的其他内容</w:t>
      </w:r>
    </w:p>
    <w:p w14:paraId="2E37642F">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需要补充的其他内容，见</w:t>
      </w:r>
      <w:r>
        <w:rPr>
          <w:rFonts w:hint="eastAsia" w:asciiTheme="minorEastAsia" w:hAnsiTheme="minorEastAsia" w:eastAsiaTheme="minorEastAsia"/>
          <w:color w:val="auto"/>
          <w:sz w:val="24"/>
          <w:highlight w:val="none"/>
          <w:u w:val="single"/>
        </w:rPr>
        <w:t>投标人须知前附表</w:t>
      </w:r>
      <w:r>
        <w:rPr>
          <w:rFonts w:hint="eastAsia" w:asciiTheme="minorEastAsia" w:hAnsiTheme="minorEastAsia" w:eastAsiaTheme="minorEastAsia"/>
          <w:color w:val="auto"/>
          <w:sz w:val="24"/>
          <w:highlight w:val="none"/>
        </w:rPr>
        <w:t>。</w:t>
      </w:r>
    </w:p>
    <w:p w14:paraId="1E0B1D7E">
      <w:pPr>
        <w:widowControl/>
        <w:jc w:val="left"/>
        <w:rPr>
          <w:rFonts w:hint="eastAsia" w:asciiTheme="minorEastAsia" w:hAnsiTheme="minorEastAsia" w:eastAsiaTheme="minorEastAsia"/>
          <w:b/>
          <w:color w:val="auto"/>
          <w:sz w:val="28"/>
          <w:highlight w:val="none"/>
        </w:rPr>
      </w:pPr>
      <w:r>
        <w:rPr>
          <w:rFonts w:asciiTheme="minorEastAsia" w:hAnsiTheme="minorEastAsia" w:eastAsiaTheme="minorEastAsia"/>
          <w:color w:val="auto"/>
          <w:sz w:val="24"/>
          <w:highlight w:val="none"/>
        </w:rPr>
        <w:br w:type="page"/>
      </w:r>
    </w:p>
    <w:p w14:paraId="2B772A04">
      <w:pPr>
        <w:spacing w:line="360" w:lineRule="auto"/>
        <w:jc w:val="center"/>
        <w:outlineLvl w:val="0"/>
        <w:rPr>
          <w:rFonts w:hint="eastAsia" w:asciiTheme="minorEastAsia" w:hAnsiTheme="minorEastAsia" w:eastAsiaTheme="minorEastAsia"/>
          <w:b/>
          <w:color w:val="auto"/>
          <w:sz w:val="28"/>
          <w:highlight w:val="none"/>
        </w:rPr>
      </w:pPr>
      <w:bookmarkStart w:id="40" w:name="_Toc221656356"/>
      <w:r>
        <w:rPr>
          <w:rFonts w:hint="eastAsia" w:asciiTheme="minorEastAsia" w:hAnsiTheme="minorEastAsia" w:eastAsiaTheme="minorEastAsia"/>
          <w:b/>
          <w:color w:val="auto"/>
          <w:sz w:val="28"/>
          <w:highlight w:val="none"/>
        </w:rPr>
        <w:t>第三章  采购需求</w:t>
      </w:r>
      <w:bookmarkEnd w:id="40"/>
    </w:p>
    <w:p w14:paraId="15939A9F">
      <w:pPr>
        <w:spacing w:line="360" w:lineRule="auto"/>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前注：</w:t>
      </w:r>
    </w:p>
    <w:p w14:paraId="5A9F7DF5">
      <w:pPr>
        <w:spacing w:line="360" w:lineRule="auto"/>
        <w:ind w:firstLine="435"/>
        <w:rPr>
          <w:rFonts w:hint="eastAsia" w:ascii="宋体" w:hAnsi="宋体" w:eastAsia="宋体" w:cs="宋体"/>
          <w:color w:val="auto"/>
          <w:sz w:val="24"/>
          <w:szCs w:val="24"/>
          <w:highlight w:val="none"/>
          <w:u w:val="single"/>
        </w:rPr>
      </w:pPr>
      <w:r>
        <w:rPr>
          <w:rFonts w:hint="eastAsia" w:asciiTheme="minorEastAsia" w:hAnsiTheme="minorEastAsia" w:eastAsiaTheme="minorEastAsia"/>
          <w:color w:val="auto"/>
          <w:sz w:val="24"/>
          <w:highlight w:val="none"/>
        </w:rPr>
        <w:t>1.</w:t>
      </w:r>
      <w:r>
        <w:rPr>
          <w:rFonts w:ascii="宋体" w:hAnsi="宋体" w:eastAsia="宋体"/>
          <w:color w:val="auto"/>
          <w:sz w:val="24"/>
          <w:szCs w:val="18"/>
          <w:highlight w:val="none"/>
        </w:rPr>
        <w:t>根据《</w:t>
      </w:r>
      <w:r>
        <w:rPr>
          <w:rFonts w:hint="eastAsia" w:ascii="宋体" w:hAnsi="宋体" w:eastAsia="宋体"/>
          <w:color w:val="auto"/>
          <w:sz w:val="24"/>
          <w:szCs w:val="18"/>
          <w:highlight w:val="none"/>
        </w:rPr>
        <w:t>政府采购进口产品管理办法</w:t>
      </w:r>
      <w:r>
        <w:rPr>
          <w:rFonts w:ascii="宋体" w:hAnsi="宋体" w:eastAsia="宋体"/>
          <w:color w:val="auto"/>
          <w:sz w:val="24"/>
          <w:szCs w:val="18"/>
          <w:highlight w:val="none"/>
        </w:rPr>
        <w:t>》及政府采购管理部门的相关规定，下列采购需求中</w:t>
      </w:r>
      <w:r>
        <w:rPr>
          <w:rFonts w:hint="eastAsia" w:ascii="宋体" w:hAnsi="宋体" w:eastAsia="宋体"/>
          <w:color w:val="auto"/>
          <w:sz w:val="24"/>
          <w:szCs w:val="18"/>
          <w:highlight w:val="none"/>
        </w:rPr>
        <w:t>标注进口产品的货物均</w:t>
      </w:r>
      <w:r>
        <w:rPr>
          <w:rFonts w:ascii="宋体" w:hAnsi="宋体" w:eastAsia="宋体"/>
          <w:color w:val="auto"/>
          <w:sz w:val="24"/>
          <w:szCs w:val="18"/>
          <w:highlight w:val="none"/>
        </w:rPr>
        <w:t>已履行相关论证手续，经核准采购进口</w:t>
      </w:r>
      <w:r>
        <w:rPr>
          <w:rFonts w:hint="eastAsia" w:ascii="宋体" w:hAnsi="宋体" w:eastAsia="宋体"/>
          <w:color w:val="auto"/>
          <w:sz w:val="24"/>
          <w:szCs w:val="18"/>
          <w:highlight w:val="none"/>
        </w:rPr>
        <w:t>产品</w:t>
      </w:r>
      <w:r>
        <w:rPr>
          <w:rFonts w:ascii="宋体" w:hAnsi="宋体" w:eastAsia="宋体"/>
          <w:color w:val="auto"/>
          <w:sz w:val="24"/>
          <w:szCs w:val="18"/>
          <w:highlight w:val="none"/>
        </w:rPr>
        <w:t>，但不限制满足招标文件要求的国内产品参与竞争</w:t>
      </w:r>
      <w:r>
        <w:rPr>
          <w:rFonts w:hint="eastAsia" w:ascii="宋体" w:hAnsi="宋体" w:eastAsia="宋体"/>
          <w:color w:val="auto"/>
          <w:sz w:val="24"/>
          <w:szCs w:val="18"/>
          <w:highlight w:val="none"/>
        </w:rPr>
        <w:t>。未标注进口产品的货物均</w:t>
      </w:r>
      <w:r>
        <w:rPr>
          <w:rFonts w:ascii="宋体" w:hAnsi="宋体" w:eastAsia="宋体"/>
          <w:color w:val="auto"/>
          <w:sz w:val="24"/>
          <w:szCs w:val="18"/>
          <w:highlight w:val="none"/>
        </w:rPr>
        <w:t>为拒绝采购进口产品</w:t>
      </w:r>
      <w:r>
        <w:rPr>
          <w:rFonts w:hint="eastAsia" w:ascii="宋体" w:hAnsi="宋体" w:eastAsia="宋体"/>
          <w:color w:val="auto"/>
          <w:sz w:val="24"/>
          <w:szCs w:val="18"/>
          <w:highlight w:val="none"/>
        </w:rPr>
        <w:t>。</w:t>
      </w:r>
    </w:p>
    <w:p w14:paraId="33B002AF">
      <w:pPr>
        <w:spacing w:line="360" w:lineRule="auto"/>
        <w:ind w:firstLine="435"/>
        <w:rPr>
          <w:rFonts w:hint="eastAsia" w:ascii="宋体" w:hAnsi="宋体" w:eastAsia="宋体"/>
          <w:color w:val="auto"/>
          <w:sz w:val="24"/>
          <w:szCs w:val="18"/>
          <w:highlight w:val="none"/>
        </w:rPr>
      </w:pPr>
      <w:r>
        <w:rPr>
          <w:rFonts w:hint="eastAsia" w:ascii="宋体" w:hAnsi="宋体" w:eastAsia="宋体"/>
          <w:color w:val="auto"/>
          <w:sz w:val="24"/>
          <w:szCs w:val="18"/>
          <w:highlight w:val="none"/>
        </w:rPr>
        <w:t>2.</w:t>
      </w:r>
      <w:r>
        <w:rPr>
          <w:rFonts w:ascii="宋体" w:hAnsi="宋体" w:eastAsia="宋体" w:cs="宋体"/>
          <w:color w:val="auto"/>
          <w:sz w:val="24"/>
          <w:szCs w:val="24"/>
          <w:highlight w:val="none"/>
        </w:rPr>
        <w:t>政府采购政策（包括但不限于下列具体政策要求</w:t>
      </w:r>
      <w:r>
        <w:rPr>
          <w:rFonts w:hint="eastAsia" w:ascii="宋体" w:hAnsi="宋体" w:eastAsia="宋体" w:cs="宋体"/>
          <w:color w:val="auto"/>
          <w:sz w:val="24"/>
          <w:szCs w:val="24"/>
          <w:highlight w:val="none"/>
        </w:rPr>
        <w:t>）</w:t>
      </w:r>
      <w:r>
        <w:rPr>
          <w:rFonts w:hint="eastAsia" w:ascii="宋体" w:hAnsi="宋体" w:eastAsia="宋体"/>
          <w:color w:val="auto"/>
          <w:sz w:val="24"/>
          <w:szCs w:val="18"/>
          <w:highlight w:val="none"/>
        </w:rPr>
        <w:t>：</w:t>
      </w:r>
    </w:p>
    <w:p w14:paraId="0263D5E2">
      <w:pPr>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如属于《节能产品政府采购品目清单》中政府强制采购的节能产品，则投标人所投产品须具有市场监管总局公布的《参与实施政府采购节能产品认证机构目录》中的认证机构出具的、处于有效期内的节能产品认证证书。</w:t>
      </w:r>
    </w:p>
    <w:p w14:paraId="4B10FE91">
      <w:pPr>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如涉及商品包装和快递包装，投标人应当执行《关于印发〈商品包装政府采购需求标准（试行）〉、〈快递包装政府采购需求标准（试行）〉的通知》（财办库〔2020〕123号）、《安徽省财政厅关于贯彻落实政府绿色采购有关政策的通知》（皖财购〔2023〕853号）的要求，提供符合需求标准的绿色包装、绿色运输，同时，采购人将对包装材料和运输环节作为履约验收条款进行验收。</w:t>
      </w:r>
    </w:p>
    <w:p w14:paraId="6602D4BF">
      <w:pPr>
        <w:spacing w:line="360" w:lineRule="auto"/>
        <w:ind w:firstLine="435"/>
        <w:rPr>
          <w:rFonts w:hint="eastAsia"/>
          <w:color w:val="auto"/>
          <w:highlight w:val="none"/>
        </w:rPr>
      </w:pPr>
      <w:r>
        <w:rPr>
          <w:rFonts w:hint="eastAsia" w:ascii="宋体" w:hAnsi="宋体" w:eastAsia="宋体" w:cs="宋体"/>
          <w:color w:val="auto"/>
          <w:sz w:val="24"/>
          <w:szCs w:val="24"/>
          <w:highlight w:val="none"/>
        </w:rPr>
        <w:t>3.</w:t>
      </w:r>
      <w:r>
        <w:rPr>
          <w:rFonts w:hint="eastAsia" w:ascii="宋体" w:hAnsi="宋体" w:eastAsia="宋体"/>
          <w:color w:val="auto"/>
          <w:sz w:val="24"/>
          <w:szCs w:val="18"/>
          <w:highlight w:val="none"/>
        </w:rPr>
        <w:t>如采购人允许采用分包方式履行合同的，应当明确可以分包履行的相关内容。</w:t>
      </w:r>
    </w:p>
    <w:p w14:paraId="15A88C97">
      <w:pPr>
        <w:spacing w:line="360" w:lineRule="auto"/>
        <w:ind w:firstLine="437"/>
        <w:outlineLvl w:val="1"/>
        <w:rPr>
          <w:rFonts w:hint="eastAsia" w:ascii="宋体" w:hAnsi="宋体" w:eastAsia="宋体"/>
          <w:b/>
          <w:color w:val="auto"/>
          <w:sz w:val="24"/>
          <w:szCs w:val="18"/>
          <w:highlight w:val="none"/>
        </w:rPr>
      </w:pPr>
      <w:bookmarkStart w:id="41" w:name="_Toc32151"/>
      <w:bookmarkStart w:id="42" w:name="_Toc2554"/>
      <w:bookmarkStart w:id="43" w:name="_Toc221656357"/>
      <w:r>
        <w:rPr>
          <w:rFonts w:hint="eastAsia" w:ascii="宋体" w:hAnsi="宋体" w:eastAsia="宋体"/>
          <w:b/>
          <w:color w:val="auto"/>
          <w:sz w:val="24"/>
          <w:szCs w:val="18"/>
          <w:highlight w:val="none"/>
        </w:rPr>
        <w:t>一、采购需求前附表</w:t>
      </w:r>
      <w:bookmarkEnd w:id="41"/>
      <w:bookmarkEnd w:id="42"/>
      <w:bookmarkEnd w:id="43"/>
    </w:p>
    <w:tbl>
      <w:tblPr>
        <w:tblStyle w:val="25"/>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6"/>
        <w:gridCol w:w="2032"/>
        <w:gridCol w:w="5484"/>
      </w:tblGrid>
      <w:tr w14:paraId="1C571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6" w:type="dxa"/>
            <w:vAlign w:val="center"/>
          </w:tcPr>
          <w:p w14:paraId="7E26313A">
            <w:pPr>
              <w:pStyle w:val="35"/>
              <w:pBdr>
                <w:bottom w:val="none" w:color="auto" w:sz="0" w:space="0"/>
              </w:pBdr>
              <w:tabs>
                <w:tab w:val="clear" w:pos="4153"/>
                <w:tab w:val="clear" w:pos="8306"/>
              </w:tabs>
              <w:adjustRightInd/>
              <w:spacing w:line="240" w:lineRule="auto"/>
              <w:textAlignment w:val="auto"/>
              <w:rPr>
                <w:rFonts w:hint="eastAsia" w:ascii="宋体" w:hAnsi="宋体" w:eastAsia="宋体"/>
                <w:b/>
                <w:color w:val="auto"/>
                <w:kern w:val="2"/>
                <w:highlight w:val="none"/>
              </w:rPr>
            </w:pPr>
            <w:r>
              <w:rPr>
                <w:rFonts w:hint="eastAsia" w:ascii="宋体" w:hAnsi="宋体" w:eastAsia="宋体"/>
                <w:b/>
                <w:color w:val="auto"/>
                <w:kern w:val="2"/>
                <w:highlight w:val="none"/>
              </w:rPr>
              <w:t>序号</w:t>
            </w:r>
          </w:p>
        </w:tc>
        <w:tc>
          <w:tcPr>
            <w:tcW w:w="2032" w:type="dxa"/>
            <w:vAlign w:val="center"/>
          </w:tcPr>
          <w:p w14:paraId="1A3B7D00">
            <w:pPr>
              <w:pStyle w:val="34"/>
              <w:ind w:firstLine="0"/>
              <w:jc w:val="center"/>
              <w:rPr>
                <w:rFonts w:hint="eastAsia"/>
                <w:b/>
                <w:color w:val="auto"/>
                <w:highlight w:val="none"/>
              </w:rPr>
            </w:pPr>
            <w:r>
              <w:rPr>
                <w:rFonts w:hint="eastAsia"/>
                <w:b/>
                <w:color w:val="auto"/>
                <w:highlight w:val="none"/>
              </w:rPr>
              <w:t>条款名称</w:t>
            </w:r>
          </w:p>
        </w:tc>
        <w:tc>
          <w:tcPr>
            <w:tcW w:w="5484" w:type="dxa"/>
            <w:vAlign w:val="center"/>
          </w:tcPr>
          <w:p w14:paraId="77373772">
            <w:pPr>
              <w:pStyle w:val="34"/>
              <w:ind w:firstLine="0"/>
              <w:jc w:val="center"/>
              <w:rPr>
                <w:rFonts w:hint="eastAsia"/>
                <w:b/>
                <w:color w:val="auto"/>
                <w:highlight w:val="none"/>
              </w:rPr>
            </w:pPr>
            <w:r>
              <w:rPr>
                <w:rFonts w:hint="eastAsia"/>
                <w:b/>
                <w:color w:val="auto"/>
                <w:highlight w:val="none"/>
              </w:rPr>
              <w:t>内容、说明与要求</w:t>
            </w:r>
          </w:p>
        </w:tc>
      </w:tr>
      <w:tr w14:paraId="5F9DA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6" w:type="dxa"/>
            <w:vAlign w:val="center"/>
          </w:tcPr>
          <w:p w14:paraId="542AE373">
            <w:pPr>
              <w:pStyle w:val="35"/>
              <w:pBdr>
                <w:bottom w:val="none" w:color="auto" w:sz="0" w:space="0"/>
              </w:pBdr>
              <w:tabs>
                <w:tab w:val="clear" w:pos="4153"/>
                <w:tab w:val="clear" w:pos="8306"/>
              </w:tabs>
              <w:adjustRightInd/>
              <w:spacing w:line="240" w:lineRule="auto"/>
              <w:textAlignment w:val="auto"/>
              <w:rPr>
                <w:rFonts w:hint="eastAsia" w:ascii="宋体" w:hAnsi="宋体" w:eastAsia="宋体"/>
                <w:bCs/>
                <w:color w:val="auto"/>
                <w:kern w:val="2"/>
                <w:highlight w:val="none"/>
              </w:rPr>
            </w:pPr>
            <w:r>
              <w:rPr>
                <w:rFonts w:hint="eastAsia" w:ascii="宋体" w:hAnsi="宋体" w:eastAsia="宋体"/>
                <w:bCs/>
                <w:color w:val="auto"/>
                <w:kern w:val="2"/>
                <w:highlight w:val="none"/>
              </w:rPr>
              <w:t>1</w:t>
            </w:r>
          </w:p>
        </w:tc>
        <w:tc>
          <w:tcPr>
            <w:tcW w:w="2032" w:type="dxa"/>
            <w:vAlign w:val="center"/>
          </w:tcPr>
          <w:p w14:paraId="0C64A2B9">
            <w:pPr>
              <w:pStyle w:val="34"/>
              <w:ind w:firstLine="0"/>
              <w:jc w:val="center"/>
              <w:rPr>
                <w:rFonts w:hint="eastAsia"/>
                <w:b/>
                <w:color w:val="auto"/>
                <w:highlight w:val="none"/>
              </w:rPr>
            </w:pPr>
            <w:r>
              <w:rPr>
                <w:rFonts w:hint="eastAsia"/>
                <w:color w:val="auto"/>
                <w:highlight w:val="none"/>
              </w:rPr>
              <w:t>付款方式</w:t>
            </w:r>
          </w:p>
        </w:tc>
        <w:tc>
          <w:tcPr>
            <w:tcW w:w="5484" w:type="dxa"/>
            <w:vAlign w:val="center"/>
          </w:tcPr>
          <w:p w14:paraId="03609248">
            <w:pPr>
              <w:pStyle w:val="34"/>
              <w:ind w:firstLine="0"/>
              <w:jc w:val="both"/>
              <w:rPr>
                <w:rFonts w:hint="eastAsia"/>
                <w:color w:val="auto"/>
                <w:highlight w:val="none"/>
                <w:lang w:eastAsia="zh-CN"/>
              </w:rPr>
            </w:pPr>
            <w:r>
              <w:rPr>
                <w:rFonts w:hint="eastAsia"/>
                <w:color w:val="auto"/>
                <w:highlight w:val="none"/>
              </w:rPr>
              <w:t>合同签订进场实施后，甲方向乙方支付签约合同总金额的40%作为预付款</w:t>
            </w:r>
            <w:r>
              <w:rPr>
                <w:rFonts w:hint="eastAsia"/>
                <w:color w:val="auto"/>
                <w:highlight w:val="none"/>
                <w:lang w:eastAsia="zh-CN"/>
              </w:rPr>
              <w:t>。乙方需向甲方提供预付款保函或其他担保形式；供应商如书面明确表示无需预付款的，采购人可不适用前述规定；项目</w:t>
            </w:r>
            <w:r>
              <w:rPr>
                <w:rFonts w:hint="eastAsia"/>
                <w:color w:val="auto"/>
                <w:highlight w:val="none"/>
                <w:lang w:val="en-US" w:eastAsia="zh-CN"/>
              </w:rPr>
              <w:t>安装调试</w:t>
            </w:r>
            <w:r>
              <w:rPr>
                <w:rFonts w:hint="eastAsia"/>
                <w:color w:val="auto"/>
                <w:highlight w:val="none"/>
                <w:lang w:eastAsia="zh-CN"/>
              </w:rPr>
              <w:t>验收合格后支付</w:t>
            </w:r>
            <w:r>
              <w:rPr>
                <w:rFonts w:hint="eastAsia"/>
                <w:color w:val="auto"/>
                <w:highlight w:val="none"/>
                <w:lang w:val="en-US" w:eastAsia="zh-CN"/>
              </w:rPr>
              <w:t>剩余款项</w:t>
            </w:r>
            <w:r>
              <w:rPr>
                <w:rFonts w:hint="eastAsia"/>
                <w:color w:val="auto"/>
                <w:highlight w:val="none"/>
                <w:lang w:eastAsia="zh-CN"/>
              </w:rPr>
              <w:t>。</w:t>
            </w:r>
          </w:p>
          <w:p w14:paraId="0BC354EC">
            <w:pPr>
              <w:pStyle w:val="34"/>
              <w:ind w:firstLine="0"/>
              <w:jc w:val="both"/>
              <w:rPr>
                <w:rFonts w:hint="eastAsia" w:eastAsia="宋体"/>
                <w:b/>
                <w:color w:val="auto"/>
                <w:highlight w:val="none"/>
                <w:lang w:eastAsia="zh-CN"/>
              </w:rPr>
            </w:pPr>
            <w:r>
              <w:rPr>
                <w:rFonts w:hint="eastAsia"/>
                <w:color w:val="auto"/>
                <w:highlight w:val="none"/>
                <w:lang w:eastAsia="zh-CN"/>
              </w:rPr>
              <w:t>预付款担保可采用的形式：银行保函、担保机构担保、保证保险，具体要求：①采用银行保函的，应为不可撤销、不可转让的见索即付独立保函。②采用担保机构担保的，应为经金融监督管理局审查批准，依法取得融资担保业务经营许可证的融资担保机构出具的不可撤销、不可转让的见索即付独立保函。③采用保证保险的，应为保险公司出具的不可撤销、不可转让的见索即付保证保险。</w:t>
            </w:r>
          </w:p>
        </w:tc>
      </w:tr>
      <w:tr w14:paraId="5EE49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6" w:type="dxa"/>
            <w:vAlign w:val="center"/>
          </w:tcPr>
          <w:p w14:paraId="3D29D681">
            <w:pPr>
              <w:pStyle w:val="35"/>
              <w:pBdr>
                <w:bottom w:val="none" w:color="auto" w:sz="0" w:space="0"/>
              </w:pBdr>
              <w:tabs>
                <w:tab w:val="clear" w:pos="4153"/>
                <w:tab w:val="clear" w:pos="8306"/>
              </w:tabs>
              <w:adjustRightInd/>
              <w:spacing w:line="240" w:lineRule="auto"/>
              <w:textAlignment w:val="auto"/>
              <w:rPr>
                <w:rFonts w:hint="eastAsia" w:ascii="宋体" w:hAnsi="宋体" w:eastAsia="宋体"/>
                <w:bCs/>
                <w:color w:val="auto"/>
                <w:kern w:val="2"/>
                <w:highlight w:val="none"/>
              </w:rPr>
            </w:pPr>
            <w:r>
              <w:rPr>
                <w:rFonts w:hint="eastAsia" w:ascii="宋体" w:hAnsi="宋体" w:eastAsia="宋体"/>
                <w:bCs/>
                <w:color w:val="auto"/>
                <w:kern w:val="2"/>
                <w:highlight w:val="none"/>
              </w:rPr>
              <w:t>2</w:t>
            </w:r>
          </w:p>
        </w:tc>
        <w:tc>
          <w:tcPr>
            <w:tcW w:w="2032" w:type="dxa"/>
            <w:vAlign w:val="center"/>
          </w:tcPr>
          <w:p w14:paraId="0916DB8C">
            <w:pPr>
              <w:pStyle w:val="34"/>
              <w:ind w:firstLine="0"/>
              <w:jc w:val="center"/>
              <w:rPr>
                <w:rFonts w:hint="eastAsia"/>
                <w:b/>
                <w:color w:val="auto"/>
                <w:highlight w:val="none"/>
              </w:rPr>
            </w:pPr>
            <w:r>
              <w:rPr>
                <w:rFonts w:hint="eastAsia"/>
                <w:color w:val="auto"/>
                <w:highlight w:val="none"/>
              </w:rPr>
              <w:t>供货及安装地点</w:t>
            </w:r>
          </w:p>
        </w:tc>
        <w:tc>
          <w:tcPr>
            <w:tcW w:w="5484" w:type="dxa"/>
            <w:vAlign w:val="center"/>
          </w:tcPr>
          <w:p w14:paraId="4CF144AD">
            <w:pPr>
              <w:pStyle w:val="34"/>
              <w:ind w:firstLine="0"/>
              <w:jc w:val="center"/>
              <w:rPr>
                <w:rFonts w:hint="eastAsia"/>
                <w:b/>
                <w:color w:val="auto"/>
                <w:highlight w:val="none"/>
              </w:rPr>
            </w:pPr>
            <w:r>
              <w:rPr>
                <w:rFonts w:hint="eastAsia"/>
                <w:color w:val="auto"/>
                <w:highlight w:val="none"/>
              </w:rPr>
              <w:t>安徽省濉溪县，采购人指定地点。</w:t>
            </w:r>
          </w:p>
        </w:tc>
      </w:tr>
      <w:tr w14:paraId="7F568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6" w:type="dxa"/>
            <w:vAlign w:val="center"/>
          </w:tcPr>
          <w:p w14:paraId="01A4BCB0">
            <w:pPr>
              <w:pStyle w:val="35"/>
              <w:pBdr>
                <w:bottom w:val="none" w:color="auto" w:sz="0" w:space="0"/>
              </w:pBdr>
              <w:tabs>
                <w:tab w:val="clear" w:pos="4153"/>
                <w:tab w:val="clear" w:pos="8306"/>
              </w:tabs>
              <w:adjustRightInd/>
              <w:spacing w:line="240" w:lineRule="auto"/>
              <w:textAlignment w:val="auto"/>
              <w:rPr>
                <w:rFonts w:hint="eastAsia" w:ascii="宋体" w:hAnsi="宋体" w:eastAsia="宋体"/>
                <w:bCs/>
                <w:color w:val="auto"/>
                <w:kern w:val="2"/>
                <w:highlight w:val="none"/>
              </w:rPr>
            </w:pPr>
            <w:r>
              <w:rPr>
                <w:rFonts w:hint="eastAsia" w:ascii="宋体" w:hAnsi="宋体" w:eastAsia="宋体"/>
                <w:bCs/>
                <w:color w:val="auto"/>
                <w:kern w:val="2"/>
                <w:highlight w:val="none"/>
              </w:rPr>
              <w:t>3</w:t>
            </w:r>
          </w:p>
        </w:tc>
        <w:tc>
          <w:tcPr>
            <w:tcW w:w="2032" w:type="dxa"/>
            <w:vAlign w:val="center"/>
          </w:tcPr>
          <w:p w14:paraId="27E75227">
            <w:pPr>
              <w:pStyle w:val="34"/>
              <w:ind w:firstLine="0"/>
              <w:jc w:val="center"/>
              <w:rPr>
                <w:rFonts w:hint="eastAsia"/>
                <w:b/>
                <w:color w:val="auto"/>
                <w:highlight w:val="none"/>
              </w:rPr>
            </w:pPr>
            <w:r>
              <w:rPr>
                <w:rFonts w:hint="eastAsia"/>
                <w:color w:val="auto"/>
                <w:highlight w:val="none"/>
              </w:rPr>
              <w:t>供货及安装期限</w:t>
            </w:r>
          </w:p>
        </w:tc>
        <w:tc>
          <w:tcPr>
            <w:tcW w:w="5484" w:type="dxa"/>
            <w:vAlign w:val="center"/>
          </w:tcPr>
          <w:p w14:paraId="314C53B1">
            <w:pPr>
              <w:pStyle w:val="34"/>
              <w:ind w:firstLine="0"/>
              <w:jc w:val="both"/>
              <w:rPr>
                <w:rFonts w:hint="default"/>
                <w:color w:val="auto"/>
                <w:szCs w:val="18"/>
                <w:highlight w:val="none"/>
                <w:lang w:val="en-US" w:eastAsia="zh-CN"/>
              </w:rPr>
            </w:pPr>
            <w:r>
              <w:rPr>
                <w:rFonts w:hint="eastAsia"/>
                <w:color w:val="auto"/>
                <w:szCs w:val="18"/>
                <w:highlight w:val="none"/>
                <w:lang w:val="en-US" w:eastAsia="zh-CN"/>
              </w:rPr>
              <w:t>01包、02包、03包、04包、05包：合同签订后60天内完成交货、安装调试并具备验收条件；</w:t>
            </w:r>
          </w:p>
          <w:p w14:paraId="70476E12">
            <w:pPr>
              <w:pStyle w:val="34"/>
              <w:ind w:firstLine="0"/>
              <w:jc w:val="both"/>
              <w:rPr>
                <w:rFonts w:hint="eastAsia"/>
                <w:b/>
                <w:color w:val="auto"/>
                <w:highlight w:val="none"/>
              </w:rPr>
            </w:pPr>
            <w:r>
              <w:rPr>
                <w:rFonts w:hint="eastAsia"/>
                <w:color w:val="auto"/>
                <w:szCs w:val="18"/>
                <w:highlight w:val="none"/>
                <w:lang w:val="en-US" w:eastAsia="zh-CN"/>
              </w:rPr>
              <w:t>06包、07包、08包、09包：</w:t>
            </w:r>
            <w:r>
              <w:rPr>
                <w:color w:val="auto"/>
                <w:szCs w:val="18"/>
                <w:highlight w:val="none"/>
              </w:rPr>
              <w:t>合同签订后</w:t>
            </w:r>
            <w:r>
              <w:rPr>
                <w:rFonts w:hint="eastAsia"/>
                <w:color w:val="auto"/>
                <w:szCs w:val="18"/>
                <w:highlight w:val="none"/>
              </w:rPr>
              <w:t>45</w:t>
            </w:r>
            <w:r>
              <w:rPr>
                <w:color w:val="auto"/>
                <w:szCs w:val="18"/>
                <w:highlight w:val="none"/>
              </w:rPr>
              <w:t>天内完成交货、安装调试并具备验收条件</w:t>
            </w:r>
            <w:r>
              <w:rPr>
                <w:rFonts w:hint="eastAsia"/>
                <w:color w:val="auto"/>
                <w:highlight w:val="none"/>
              </w:rPr>
              <w:t>。</w:t>
            </w:r>
          </w:p>
        </w:tc>
      </w:tr>
      <w:tr w14:paraId="29085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6" w:type="dxa"/>
            <w:vAlign w:val="center"/>
          </w:tcPr>
          <w:p w14:paraId="3690B0F8">
            <w:pPr>
              <w:pStyle w:val="35"/>
              <w:pBdr>
                <w:bottom w:val="none" w:color="auto" w:sz="0" w:space="0"/>
              </w:pBdr>
              <w:tabs>
                <w:tab w:val="clear" w:pos="4153"/>
                <w:tab w:val="clear" w:pos="8306"/>
              </w:tabs>
              <w:adjustRightInd/>
              <w:spacing w:line="240" w:lineRule="auto"/>
              <w:textAlignment w:val="auto"/>
              <w:rPr>
                <w:rFonts w:hint="eastAsia" w:ascii="宋体" w:hAnsi="宋体" w:eastAsia="宋体"/>
                <w:bCs/>
                <w:color w:val="auto"/>
                <w:kern w:val="2"/>
                <w:highlight w:val="none"/>
              </w:rPr>
            </w:pPr>
            <w:r>
              <w:rPr>
                <w:rFonts w:hint="eastAsia" w:ascii="宋体" w:hAnsi="宋体" w:eastAsia="宋体"/>
                <w:bCs/>
                <w:color w:val="auto"/>
                <w:kern w:val="2"/>
                <w:highlight w:val="none"/>
              </w:rPr>
              <w:t>4</w:t>
            </w:r>
          </w:p>
        </w:tc>
        <w:tc>
          <w:tcPr>
            <w:tcW w:w="2032" w:type="dxa"/>
            <w:vAlign w:val="center"/>
          </w:tcPr>
          <w:p w14:paraId="67E1E026">
            <w:pPr>
              <w:pStyle w:val="34"/>
              <w:ind w:firstLine="0"/>
              <w:jc w:val="center"/>
              <w:rPr>
                <w:rFonts w:hint="eastAsia"/>
                <w:b/>
                <w:color w:val="auto"/>
                <w:highlight w:val="none"/>
              </w:rPr>
            </w:pPr>
            <w:r>
              <w:rPr>
                <w:rFonts w:hint="eastAsia"/>
                <w:color w:val="auto"/>
                <w:highlight w:val="none"/>
              </w:rPr>
              <w:t>免费质保期</w:t>
            </w:r>
          </w:p>
        </w:tc>
        <w:tc>
          <w:tcPr>
            <w:tcW w:w="5484" w:type="dxa"/>
            <w:vAlign w:val="center"/>
          </w:tcPr>
          <w:p w14:paraId="6170B697">
            <w:pPr>
              <w:pStyle w:val="34"/>
              <w:ind w:firstLine="0"/>
              <w:jc w:val="both"/>
              <w:rPr>
                <w:rFonts w:hint="eastAsia"/>
                <w:color w:val="auto"/>
                <w:szCs w:val="18"/>
                <w:highlight w:val="none"/>
                <w:lang w:val="en-US" w:eastAsia="zh-CN"/>
              </w:rPr>
            </w:pPr>
            <w:r>
              <w:rPr>
                <w:rFonts w:hint="eastAsia"/>
                <w:color w:val="auto"/>
                <w:szCs w:val="18"/>
                <w:highlight w:val="none"/>
                <w:lang w:val="en-US" w:eastAsia="zh-CN"/>
              </w:rPr>
              <w:t>03包免费质保期为3年；</w:t>
            </w:r>
          </w:p>
          <w:p w14:paraId="5F610BA3">
            <w:pPr>
              <w:pStyle w:val="34"/>
              <w:ind w:firstLine="0"/>
              <w:jc w:val="both"/>
              <w:rPr>
                <w:rFonts w:hint="default" w:eastAsia="宋体"/>
                <w:b/>
                <w:color w:val="auto"/>
                <w:highlight w:val="none"/>
                <w:lang w:val="en-US" w:eastAsia="zh-CN"/>
              </w:rPr>
            </w:pPr>
            <w:r>
              <w:rPr>
                <w:rFonts w:hint="eastAsia"/>
                <w:color w:val="auto"/>
                <w:szCs w:val="18"/>
                <w:highlight w:val="none"/>
                <w:lang w:val="en-US" w:eastAsia="zh-CN"/>
              </w:rPr>
              <w:t>01包、02包、04包、05包、06包、07包、08包、09包免费质保期为7年。</w:t>
            </w:r>
          </w:p>
        </w:tc>
      </w:tr>
      <w:tr w14:paraId="28DAE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6" w:type="dxa"/>
            <w:vAlign w:val="center"/>
          </w:tcPr>
          <w:p w14:paraId="3F7401BD">
            <w:pPr>
              <w:pStyle w:val="35"/>
              <w:pBdr>
                <w:bottom w:val="none" w:color="auto" w:sz="0" w:space="0"/>
              </w:pBdr>
              <w:tabs>
                <w:tab w:val="clear" w:pos="4153"/>
                <w:tab w:val="clear" w:pos="8306"/>
              </w:tabs>
              <w:adjustRightInd/>
              <w:spacing w:line="240" w:lineRule="auto"/>
              <w:textAlignment w:val="auto"/>
              <w:rPr>
                <w:rFonts w:hint="eastAsia" w:ascii="宋体" w:hAnsi="宋体" w:eastAsia="宋体"/>
                <w:bCs/>
                <w:color w:val="auto"/>
                <w:kern w:val="2"/>
                <w:highlight w:val="none"/>
              </w:rPr>
            </w:pPr>
            <w:r>
              <w:rPr>
                <w:rFonts w:hint="eastAsia" w:ascii="宋体" w:hAnsi="宋体" w:eastAsia="宋体"/>
                <w:bCs/>
                <w:color w:val="auto"/>
                <w:kern w:val="2"/>
                <w:highlight w:val="none"/>
              </w:rPr>
              <w:t>5</w:t>
            </w:r>
          </w:p>
        </w:tc>
        <w:tc>
          <w:tcPr>
            <w:tcW w:w="2032" w:type="dxa"/>
            <w:vAlign w:val="center"/>
          </w:tcPr>
          <w:p w14:paraId="60738467">
            <w:pPr>
              <w:pStyle w:val="34"/>
              <w:ind w:firstLine="0"/>
              <w:jc w:val="center"/>
              <w:rPr>
                <w:rFonts w:hint="eastAsia"/>
                <w:b/>
                <w:color w:val="auto"/>
                <w:highlight w:val="none"/>
              </w:rPr>
            </w:pPr>
            <w:r>
              <w:rPr>
                <w:rFonts w:hint="eastAsia"/>
                <w:color w:val="auto"/>
                <w:highlight w:val="none"/>
              </w:rPr>
              <w:t>本项目采购标的所属行业</w:t>
            </w:r>
          </w:p>
        </w:tc>
        <w:tc>
          <w:tcPr>
            <w:tcW w:w="5484" w:type="dxa"/>
            <w:vAlign w:val="center"/>
          </w:tcPr>
          <w:p w14:paraId="4AAB4DF7">
            <w:pPr>
              <w:pStyle w:val="34"/>
              <w:ind w:firstLine="0"/>
              <w:jc w:val="center"/>
              <w:rPr>
                <w:rFonts w:hint="eastAsia"/>
                <w:b/>
                <w:color w:val="auto"/>
                <w:highlight w:val="none"/>
              </w:rPr>
            </w:pPr>
            <w:r>
              <w:rPr>
                <w:rFonts w:hint="eastAsia"/>
                <w:color w:val="auto"/>
                <w:highlight w:val="none"/>
              </w:rPr>
              <w:t>工业</w:t>
            </w:r>
          </w:p>
        </w:tc>
      </w:tr>
    </w:tbl>
    <w:p w14:paraId="70159D4F">
      <w:pPr>
        <w:keepNext w:val="0"/>
        <w:keepLines w:val="0"/>
        <w:pageBreakBefore w:val="0"/>
        <w:widowControl w:val="0"/>
        <w:kinsoku/>
        <w:wordWrap/>
        <w:overflowPunct/>
        <w:topLinePunct w:val="0"/>
        <w:autoSpaceDE/>
        <w:autoSpaceDN/>
        <w:bidi w:val="0"/>
        <w:adjustRightInd/>
        <w:snapToGrid/>
        <w:spacing w:line="360" w:lineRule="auto"/>
        <w:ind w:firstLine="437"/>
        <w:textAlignment w:val="auto"/>
        <w:outlineLvl w:val="1"/>
        <w:rPr>
          <w:rFonts w:hint="eastAsia" w:ascii="宋体" w:hAnsi="宋体" w:eastAsia="宋体"/>
          <w:b/>
          <w:bCs/>
          <w:color w:val="auto"/>
          <w:sz w:val="24"/>
          <w:szCs w:val="18"/>
          <w:highlight w:val="none"/>
        </w:rPr>
      </w:pPr>
      <w:bookmarkStart w:id="44" w:name="_Toc221656358"/>
      <w:bookmarkStart w:id="45" w:name="_Toc5944"/>
      <w:bookmarkStart w:id="46" w:name="_Toc7671"/>
      <w:r>
        <w:rPr>
          <w:rFonts w:hint="eastAsia" w:ascii="宋体" w:hAnsi="宋体" w:eastAsia="宋体"/>
          <w:b/>
          <w:bCs/>
          <w:color w:val="auto"/>
          <w:sz w:val="24"/>
          <w:szCs w:val="18"/>
          <w:highlight w:val="none"/>
        </w:rPr>
        <w:t>二、</w:t>
      </w:r>
      <w:r>
        <w:rPr>
          <w:rFonts w:hint="eastAsia" w:ascii="宋体" w:hAnsi="宋体" w:eastAsia="宋体"/>
          <w:b/>
          <w:color w:val="auto"/>
          <w:sz w:val="24"/>
          <w:szCs w:val="18"/>
          <w:highlight w:val="none"/>
        </w:rPr>
        <w:t>货物</w:t>
      </w:r>
      <w:r>
        <w:rPr>
          <w:rFonts w:hint="eastAsia" w:ascii="宋体" w:hAnsi="宋体" w:eastAsia="宋体"/>
          <w:b/>
          <w:bCs/>
          <w:color w:val="auto"/>
          <w:sz w:val="24"/>
          <w:szCs w:val="18"/>
          <w:highlight w:val="none"/>
        </w:rPr>
        <w:t>需求</w:t>
      </w:r>
      <w:bookmarkEnd w:id="44"/>
      <w:bookmarkEnd w:id="45"/>
      <w:bookmarkEnd w:id="46"/>
      <w:r>
        <w:rPr>
          <w:rFonts w:hint="eastAsia" w:ascii="宋体" w:hAnsi="宋体" w:eastAsia="宋体"/>
          <w:b/>
          <w:bCs/>
          <w:color w:val="auto"/>
          <w:sz w:val="24"/>
          <w:szCs w:val="18"/>
          <w:highlight w:val="none"/>
        </w:rPr>
        <w:t>一览表</w:t>
      </w:r>
    </w:p>
    <w:p w14:paraId="0840DB1C">
      <w:pPr>
        <w:spacing w:line="360" w:lineRule="auto"/>
        <w:ind w:firstLine="437"/>
        <w:outlineLvl w:val="2"/>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01包：</w:t>
      </w:r>
    </w:p>
    <w:tbl>
      <w:tblPr>
        <w:tblStyle w:val="2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5"/>
        <w:gridCol w:w="1364"/>
        <w:gridCol w:w="4028"/>
        <w:gridCol w:w="706"/>
        <w:gridCol w:w="774"/>
        <w:gridCol w:w="1055"/>
      </w:tblGrid>
      <w:tr w14:paraId="36073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49" w:type="pct"/>
            <w:tcBorders>
              <w:top w:val="single" w:color="auto" w:sz="4" w:space="0"/>
              <w:left w:val="single" w:color="auto" w:sz="4" w:space="0"/>
              <w:bottom w:val="single" w:color="auto" w:sz="4" w:space="0"/>
              <w:right w:val="single" w:color="auto" w:sz="4" w:space="0"/>
            </w:tcBorders>
            <w:shd w:val="clear" w:color="auto" w:fill="FFFFFF"/>
            <w:vAlign w:val="center"/>
          </w:tcPr>
          <w:p w14:paraId="3B227AF1">
            <w:pPr>
              <w:widowControl/>
              <w:tabs>
                <w:tab w:val="left" w:pos="420"/>
                <w:tab w:val="left" w:pos="900"/>
              </w:tabs>
              <w:jc w:val="center"/>
              <w:rPr>
                <w:rFonts w:hint="eastAsia" w:ascii="宋体" w:hAnsi="宋体" w:eastAsia="宋体" w:cs="Arial"/>
                <w:b/>
                <w:bCs/>
                <w:color w:val="auto"/>
                <w:kern w:val="0"/>
                <w:sz w:val="24"/>
                <w:szCs w:val="24"/>
                <w:highlight w:val="none"/>
              </w:rPr>
            </w:pPr>
            <w:r>
              <w:rPr>
                <w:rFonts w:hint="eastAsia" w:ascii="宋体" w:hAnsi="宋体" w:eastAsia="宋体" w:cs="Arial"/>
                <w:b/>
                <w:bCs/>
                <w:color w:val="auto"/>
                <w:kern w:val="0"/>
                <w:sz w:val="24"/>
                <w:szCs w:val="24"/>
                <w:highlight w:val="none"/>
              </w:rPr>
              <w:t>序号</w:t>
            </w:r>
          </w:p>
        </w:tc>
        <w:tc>
          <w:tcPr>
            <w:tcW w:w="800" w:type="pct"/>
            <w:tcBorders>
              <w:top w:val="single" w:color="auto" w:sz="4" w:space="0"/>
              <w:left w:val="nil"/>
              <w:bottom w:val="single" w:color="auto" w:sz="4" w:space="0"/>
              <w:right w:val="single" w:color="auto" w:sz="4" w:space="0"/>
            </w:tcBorders>
            <w:shd w:val="clear" w:color="auto" w:fill="FFFFFF"/>
            <w:vAlign w:val="center"/>
          </w:tcPr>
          <w:p w14:paraId="34D34B1D">
            <w:pPr>
              <w:widowControl/>
              <w:tabs>
                <w:tab w:val="left" w:pos="420"/>
                <w:tab w:val="left" w:pos="900"/>
              </w:tabs>
              <w:jc w:val="center"/>
              <w:rPr>
                <w:rFonts w:hint="eastAsia" w:ascii="宋体" w:hAnsi="宋体" w:eastAsia="宋体" w:cs="Arial"/>
                <w:b/>
                <w:bCs/>
                <w:color w:val="auto"/>
                <w:kern w:val="0"/>
                <w:sz w:val="24"/>
                <w:szCs w:val="24"/>
                <w:highlight w:val="none"/>
              </w:rPr>
            </w:pPr>
            <w:r>
              <w:rPr>
                <w:rFonts w:hint="eastAsia" w:ascii="宋体" w:hAnsi="宋体" w:eastAsia="宋体" w:cs="Arial"/>
                <w:b/>
                <w:bCs/>
                <w:color w:val="auto"/>
                <w:kern w:val="0"/>
                <w:sz w:val="24"/>
                <w:szCs w:val="24"/>
                <w:highlight w:val="none"/>
              </w:rPr>
              <w:t>货物名称</w:t>
            </w:r>
          </w:p>
        </w:tc>
        <w:tc>
          <w:tcPr>
            <w:tcW w:w="2362" w:type="pct"/>
            <w:tcBorders>
              <w:top w:val="single" w:color="auto" w:sz="4" w:space="0"/>
              <w:left w:val="nil"/>
              <w:bottom w:val="single" w:color="auto" w:sz="4" w:space="0"/>
              <w:right w:val="single" w:color="auto" w:sz="4" w:space="0"/>
            </w:tcBorders>
            <w:shd w:val="clear" w:color="auto" w:fill="FFFFFF"/>
            <w:vAlign w:val="center"/>
          </w:tcPr>
          <w:p w14:paraId="28F57007">
            <w:pPr>
              <w:widowControl/>
              <w:tabs>
                <w:tab w:val="left" w:pos="420"/>
                <w:tab w:val="left" w:pos="900"/>
              </w:tabs>
              <w:jc w:val="center"/>
              <w:rPr>
                <w:rFonts w:hint="eastAsia" w:ascii="宋体" w:hAnsi="宋体" w:eastAsia="宋体" w:cs="Arial"/>
                <w:b/>
                <w:bCs/>
                <w:color w:val="auto"/>
                <w:kern w:val="0"/>
                <w:sz w:val="24"/>
                <w:szCs w:val="24"/>
                <w:highlight w:val="none"/>
              </w:rPr>
            </w:pPr>
            <w:r>
              <w:rPr>
                <w:rFonts w:hint="eastAsia" w:ascii="宋体" w:hAnsi="宋体" w:eastAsia="宋体" w:cs="Arial"/>
                <w:b/>
                <w:bCs/>
                <w:color w:val="auto"/>
                <w:kern w:val="0"/>
                <w:sz w:val="24"/>
                <w:szCs w:val="24"/>
                <w:highlight w:val="none"/>
              </w:rPr>
              <w:t>技术参数及要求</w:t>
            </w:r>
          </w:p>
        </w:tc>
        <w:tc>
          <w:tcPr>
            <w:tcW w:w="414" w:type="pct"/>
            <w:tcBorders>
              <w:top w:val="single" w:color="auto" w:sz="4" w:space="0"/>
              <w:left w:val="nil"/>
              <w:bottom w:val="single" w:color="auto" w:sz="4" w:space="0"/>
              <w:right w:val="single" w:color="auto" w:sz="4" w:space="0"/>
            </w:tcBorders>
            <w:shd w:val="clear" w:color="auto" w:fill="FFFFFF"/>
            <w:vAlign w:val="center"/>
          </w:tcPr>
          <w:p w14:paraId="6AD783DF">
            <w:pPr>
              <w:widowControl/>
              <w:tabs>
                <w:tab w:val="left" w:pos="420"/>
                <w:tab w:val="left" w:pos="900"/>
              </w:tabs>
              <w:jc w:val="center"/>
              <w:rPr>
                <w:rFonts w:hint="eastAsia" w:ascii="宋体" w:hAnsi="宋体" w:eastAsia="宋体" w:cs="Arial"/>
                <w:b/>
                <w:bCs/>
                <w:color w:val="auto"/>
                <w:kern w:val="0"/>
                <w:sz w:val="24"/>
                <w:szCs w:val="24"/>
                <w:highlight w:val="none"/>
              </w:rPr>
            </w:pPr>
            <w:r>
              <w:rPr>
                <w:rFonts w:hint="eastAsia" w:ascii="宋体" w:hAnsi="宋体" w:eastAsia="宋体" w:cs="Arial"/>
                <w:b/>
                <w:bCs/>
                <w:color w:val="auto"/>
                <w:kern w:val="0"/>
                <w:sz w:val="24"/>
                <w:szCs w:val="24"/>
                <w:highlight w:val="none"/>
              </w:rPr>
              <w:t>单位</w:t>
            </w:r>
          </w:p>
        </w:tc>
        <w:tc>
          <w:tcPr>
            <w:tcW w:w="454" w:type="pct"/>
            <w:tcBorders>
              <w:top w:val="single" w:color="auto" w:sz="4" w:space="0"/>
              <w:left w:val="nil"/>
              <w:bottom w:val="single" w:color="auto" w:sz="4" w:space="0"/>
              <w:right w:val="single" w:color="auto" w:sz="4" w:space="0"/>
            </w:tcBorders>
            <w:shd w:val="clear" w:color="auto" w:fill="FFFFFF"/>
            <w:vAlign w:val="center"/>
          </w:tcPr>
          <w:p w14:paraId="68EAFF37">
            <w:pPr>
              <w:widowControl/>
              <w:tabs>
                <w:tab w:val="left" w:pos="420"/>
                <w:tab w:val="left" w:pos="900"/>
              </w:tabs>
              <w:jc w:val="center"/>
              <w:rPr>
                <w:rFonts w:hint="eastAsia" w:ascii="宋体" w:hAnsi="宋体" w:eastAsia="宋体" w:cs="Arial"/>
                <w:b/>
                <w:bCs/>
                <w:color w:val="auto"/>
                <w:kern w:val="0"/>
                <w:sz w:val="24"/>
                <w:szCs w:val="24"/>
                <w:highlight w:val="none"/>
              </w:rPr>
            </w:pPr>
            <w:r>
              <w:rPr>
                <w:rFonts w:hint="eastAsia" w:ascii="宋体" w:hAnsi="宋体" w:eastAsia="宋体" w:cs="Arial"/>
                <w:b/>
                <w:bCs/>
                <w:color w:val="auto"/>
                <w:kern w:val="0"/>
                <w:sz w:val="24"/>
                <w:szCs w:val="24"/>
                <w:highlight w:val="none"/>
              </w:rPr>
              <w:t>采购数量</w:t>
            </w:r>
          </w:p>
        </w:tc>
        <w:tc>
          <w:tcPr>
            <w:tcW w:w="618" w:type="pct"/>
            <w:tcBorders>
              <w:top w:val="single" w:color="auto" w:sz="4" w:space="0"/>
              <w:left w:val="nil"/>
              <w:bottom w:val="single" w:color="auto" w:sz="4" w:space="0"/>
              <w:right w:val="single" w:color="auto" w:sz="4" w:space="0"/>
            </w:tcBorders>
            <w:shd w:val="clear" w:color="auto" w:fill="FFFFFF"/>
            <w:vAlign w:val="center"/>
          </w:tcPr>
          <w:p w14:paraId="1A4DCEE7">
            <w:pPr>
              <w:widowControl/>
              <w:tabs>
                <w:tab w:val="left" w:pos="420"/>
                <w:tab w:val="left" w:pos="900"/>
              </w:tabs>
              <w:jc w:val="center"/>
              <w:rPr>
                <w:rFonts w:hint="eastAsia" w:ascii="宋体" w:hAnsi="宋体" w:eastAsia="宋体" w:cs="Arial"/>
                <w:b/>
                <w:bCs/>
                <w:color w:val="auto"/>
                <w:kern w:val="0"/>
                <w:sz w:val="24"/>
                <w:szCs w:val="24"/>
                <w:highlight w:val="none"/>
              </w:rPr>
            </w:pPr>
            <w:r>
              <w:rPr>
                <w:rFonts w:hint="eastAsia" w:ascii="宋体" w:hAnsi="宋体" w:eastAsia="宋体" w:cs="Arial"/>
                <w:b/>
                <w:bCs/>
                <w:color w:val="auto"/>
                <w:kern w:val="0"/>
                <w:sz w:val="24"/>
                <w:szCs w:val="24"/>
                <w:highlight w:val="none"/>
              </w:rPr>
              <w:t>是否为核心产品</w:t>
            </w:r>
          </w:p>
        </w:tc>
      </w:tr>
      <w:tr w14:paraId="3EEDA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6" w:hRule="atLeast"/>
          <w:jc w:val="center"/>
        </w:trPr>
        <w:tc>
          <w:tcPr>
            <w:tcW w:w="349" w:type="pct"/>
            <w:tcBorders>
              <w:top w:val="single" w:color="auto" w:sz="4" w:space="0"/>
              <w:left w:val="single" w:color="auto" w:sz="4" w:space="0"/>
              <w:bottom w:val="single" w:color="auto" w:sz="4" w:space="0"/>
              <w:right w:val="single" w:color="auto" w:sz="4" w:space="0"/>
            </w:tcBorders>
            <w:shd w:val="clear" w:color="auto" w:fill="FFFFFF"/>
            <w:vAlign w:val="center"/>
          </w:tcPr>
          <w:p w14:paraId="4E2E2074">
            <w:pPr>
              <w:tabs>
                <w:tab w:val="left" w:pos="900"/>
              </w:tabs>
              <w:jc w:val="center"/>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w:t>
            </w:r>
          </w:p>
        </w:tc>
        <w:tc>
          <w:tcPr>
            <w:tcW w:w="800" w:type="pct"/>
            <w:tcBorders>
              <w:top w:val="single" w:color="auto" w:sz="4" w:space="0"/>
              <w:left w:val="nil"/>
              <w:bottom w:val="single" w:color="auto" w:sz="4" w:space="0"/>
              <w:right w:val="single" w:color="auto" w:sz="4" w:space="0"/>
            </w:tcBorders>
            <w:shd w:val="clear" w:color="auto" w:fill="FFFFFF"/>
            <w:vAlign w:val="center"/>
          </w:tcPr>
          <w:p w14:paraId="5A9FE80B">
            <w:pPr>
              <w:keepNext w:val="0"/>
              <w:keepLines w:val="0"/>
              <w:pageBreakBefore w:val="0"/>
              <w:widowControl w:val="0"/>
              <w:tabs>
                <w:tab w:val="left" w:pos="900"/>
              </w:tabs>
              <w:kinsoku/>
              <w:wordWrap/>
              <w:overflowPunct/>
              <w:topLinePunct w:val="0"/>
              <w:autoSpaceDE/>
              <w:autoSpaceDN/>
              <w:bidi w:val="0"/>
              <w:adjustRightInd/>
              <w:snapToGrid/>
              <w:jc w:val="center"/>
              <w:textAlignment w:val="center"/>
              <w:rPr>
                <w:rFonts w:hint="eastAsia" w:ascii="宋体" w:hAnsi="宋体" w:eastAsia="宋体" w:cs="Arial"/>
                <w:color w:val="auto"/>
                <w:kern w:val="0"/>
                <w:sz w:val="24"/>
                <w:szCs w:val="24"/>
                <w:highlight w:val="none"/>
                <w:lang w:eastAsia="zh-CN"/>
              </w:rPr>
            </w:pPr>
            <w:r>
              <w:rPr>
                <w:rFonts w:hint="eastAsia" w:ascii="宋体" w:hAnsi="宋体" w:eastAsia="宋体" w:cs="Arial"/>
                <w:color w:val="auto"/>
                <w:kern w:val="0"/>
                <w:sz w:val="24"/>
                <w:szCs w:val="24"/>
                <w:highlight w:val="none"/>
                <w:lang w:val="en-US" w:eastAsia="zh-CN"/>
              </w:rPr>
              <w:t>超高端</w:t>
            </w:r>
            <w:r>
              <w:rPr>
                <w:rFonts w:hint="eastAsia" w:ascii="宋体" w:hAnsi="宋体" w:eastAsia="宋体" w:cs="Arial"/>
                <w:color w:val="auto"/>
                <w:kern w:val="0"/>
                <w:sz w:val="24"/>
                <w:szCs w:val="24"/>
                <w:highlight w:val="none"/>
              </w:rPr>
              <w:t>CT</w:t>
            </w:r>
          </w:p>
        </w:tc>
        <w:tc>
          <w:tcPr>
            <w:tcW w:w="2362" w:type="pct"/>
            <w:tcBorders>
              <w:top w:val="single" w:color="auto" w:sz="4" w:space="0"/>
              <w:left w:val="nil"/>
              <w:bottom w:val="single" w:color="auto" w:sz="4" w:space="0"/>
              <w:right w:val="single" w:color="auto" w:sz="4" w:space="0"/>
            </w:tcBorders>
            <w:shd w:val="clear" w:color="auto" w:fill="FFFFFF"/>
            <w:vAlign w:val="center"/>
          </w:tcPr>
          <w:p w14:paraId="35E79E25">
            <w:pPr>
              <w:keepNext w:val="0"/>
              <w:keepLines w:val="0"/>
              <w:pageBreakBefore w:val="0"/>
              <w:widowControl w:val="0"/>
              <w:tabs>
                <w:tab w:val="left" w:pos="420"/>
              </w:tabs>
              <w:kinsoku/>
              <w:wordWrap w:val="0"/>
              <w:overflowPunct w:val="0"/>
              <w:topLinePunct w:val="0"/>
              <w:autoSpaceDE/>
              <w:autoSpaceDN/>
              <w:bidi w:val="0"/>
              <w:adjustRightInd/>
              <w:snapToGrid/>
              <w:textAlignment w:val="auto"/>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w:t>
            </w:r>
            <w:r>
              <w:rPr>
                <w:rFonts w:hint="eastAsia" w:ascii="宋体" w:hAnsi="宋体" w:eastAsia="宋体" w:cs="Arial"/>
                <w:color w:val="auto"/>
                <w:kern w:val="0"/>
                <w:sz w:val="24"/>
                <w:szCs w:val="24"/>
                <w:highlight w:val="none"/>
                <w:lang w:val="en-US" w:eastAsia="zh-CN"/>
              </w:rPr>
              <w:t>.</w:t>
            </w:r>
            <w:r>
              <w:rPr>
                <w:rFonts w:hint="eastAsia" w:ascii="宋体" w:hAnsi="宋体" w:eastAsia="宋体" w:cs="Arial"/>
                <w:color w:val="auto"/>
                <w:kern w:val="0"/>
                <w:sz w:val="24"/>
                <w:szCs w:val="24"/>
                <w:highlight w:val="none"/>
              </w:rPr>
              <w:t>保证技术的先进性，要求本次所投产品的软硬件最新最全，并且按照技术白皮书内容提供本次所投产品的最全配置及选配件，（如存在注册证变更的，须提供变更后的所有配置）。GE需提供含DLIR技术，SIEMENS需提供含QuantaMax™detector技术产品，CANON需提供含AiCE技术产品，PHILIPS需提供含NanoPanelPrismdetector技术产品，其他厂家提供同等档次技术产品。</w:t>
            </w:r>
          </w:p>
          <w:p w14:paraId="57B180A6">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w:t>
            </w:r>
            <w:r>
              <w:rPr>
                <w:rFonts w:hint="eastAsia" w:ascii="宋体" w:hAnsi="宋体" w:eastAsia="宋体" w:cs="Arial"/>
                <w:color w:val="auto"/>
                <w:kern w:val="0"/>
                <w:sz w:val="24"/>
                <w:szCs w:val="24"/>
                <w:highlight w:val="none"/>
                <w:lang w:val="en-US" w:eastAsia="zh-CN"/>
              </w:rPr>
              <w:t>.</w:t>
            </w:r>
            <w:r>
              <w:rPr>
                <w:rFonts w:hint="eastAsia" w:ascii="宋体" w:hAnsi="宋体" w:eastAsia="宋体" w:cs="Arial"/>
                <w:color w:val="auto"/>
                <w:kern w:val="0"/>
                <w:sz w:val="24"/>
                <w:szCs w:val="24"/>
                <w:highlight w:val="none"/>
              </w:rPr>
              <w:t>机架系统</w:t>
            </w:r>
          </w:p>
          <w:p w14:paraId="63D9A996">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▲2.1机架孔径：孔径≥80cm</w:t>
            </w:r>
          </w:p>
          <w:p w14:paraId="79828BE4">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2.2数据传输方式：射频信号传递或者光纤传输</w:t>
            </w:r>
          </w:p>
          <w:p w14:paraId="1F032E23">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2.3机架驱动方式：电磁驱动或者马达直驱或者气垫轴承</w:t>
            </w:r>
          </w:p>
          <w:p w14:paraId="06235E87">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2.4机架冷却方式：风冷、油冷或者水冷，如水冷应配备两套水冷机组，费用包含在本项目报价内</w:t>
            </w:r>
          </w:p>
          <w:p w14:paraId="6486EBDB">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2.5机架控制面板数量：≥2个</w:t>
            </w:r>
          </w:p>
          <w:p w14:paraId="6EED201E">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▲2.6机架最快旋转时间：≤0.24s/360°</w:t>
            </w:r>
          </w:p>
          <w:p w14:paraId="369A789B">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2.7滑环类型：无接触静音滑环或者低压滑环</w:t>
            </w:r>
          </w:p>
          <w:p w14:paraId="60DD436C">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2.8滑环数据传输方式：射频信号传递或者光纤传输</w:t>
            </w:r>
          </w:p>
          <w:p w14:paraId="1D08C33B">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▲2.9滑环数据传输速度：≥25Gbps</w:t>
            </w:r>
          </w:p>
          <w:p w14:paraId="7A50215C">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2.10机架激光定位系统：具备</w:t>
            </w:r>
          </w:p>
          <w:p w14:paraId="2B2C7CCB">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w:t>
            </w:r>
            <w:r>
              <w:rPr>
                <w:rFonts w:hint="eastAsia" w:ascii="宋体" w:hAnsi="宋体" w:eastAsia="宋体" w:cs="Arial"/>
                <w:color w:val="auto"/>
                <w:kern w:val="0"/>
                <w:sz w:val="24"/>
                <w:szCs w:val="24"/>
                <w:highlight w:val="none"/>
                <w:lang w:val="en-US" w:eastAsia="zh-CN"/>
              </w:rPr>
              <w:t>.</w:t>
            </w:r>
            <w:r>
              <w:rPr>
                <w:rFonts w:hint="eastAsia" w:ascii="宋体" w:hAnsi="宋体" w:eastAsia="宋体" w:cs="Arial"/>
                <w:color w:val="auto"/>
                <w:kern w:val="0"/>
                <w:sz w:val="24"/>
                <w:szCs w:val="24"/>
                <w:highlight w:val="none"/>
              </w:rPr>
              <w:t>探测器系统</w:t>
            </w:r>
          </w:p>
          <w:p w14:paraId="16417BA4">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3.1提供新型探测器技术，如提供传统单套探测器，Z轴覆盖范围≥16cm；如提供传统双套探测器系统，则每套探测器Z轴覆盖范围≥5.76cm；如提供全新立体双层光谱探测器，Z轴覆盖范围≥8cm</w:t>
            </w:r>
          </w:p>
          <w:p w14:paraId="76CDBDCD">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3.2探测器最小单元≤0.625mm</w:t>
            </w:r>
          </w:p>
          <w:p w14:paraId="50009D77">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3.3单组探测器轴扫每圈采集层数≥512层</w:t>
            </w:r>
          </w:p>
          <w:p w14:paraId="7D4420B0">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w:t>
            </w:r>
            <w:r>
              <w:rPr>
                <w:rFonts w:hint="eastAsia" w:ascii="宋体" w:hAnsi="宋体" w:eastAsia="宋体" w:cs="Arial"/>
                <w:color w:val="auto"/>
                <w:kern w:val="0"/>
                <w:sz w:val="24"/>
                <w:szCs w:val="24"/>
                <w:highlight w:val="none"/>
                <w:lang w:val="en-US" w:eastAsia="zh-CN"/>
              </w:rPr>
              <w:t>.</w:t>
            </w:r>
            <w:r>
              <w:rPr>
                <w:rFonts w:hint="eastAsia" w:ascii="宋体" w:hAnsi="宋体" w:eastAsia="宋体" w:cs="Arial"/>
                <w:color w:val="auto"/>
                <w:kern w:val="0"/>
                <w:sz w:val="24"/>
                <w:szCs w:val="24"/>
                <w:highlight w:val="none"/>
              </w:rPr>
              <w:t>X射线系统</w:t>
            </w:r>
          </w:p>
          <w:p w14:paraId="653BCB17">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4.1单球管热容量：≥30MHU</w:t>
            </w:r>
          </w:p>
          <w:p w14:paraId="12BB2A04">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4.2单球管焦点数量：≥3个</w:t>
            </w:r>
          </w:p>
          <w:p w14:paraId="04C1E29A">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4.3球管大焦点：≥1.2x1.5mm</w:t>
            </w:r>
          </w:p>
          <w:p w14:paraId="1CA5995E">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4.4球管电流调节步进：≤5mA</w:t>
            </w:r>
          </w:p>
          <w:p w14:paraId="24BBEF05">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▲4.5单只球管最大管电流（非等效）：≥1000mA</w:t>
            </w:r>
          </w:p>
          <w:p w14:paraId="43AD5922">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▲4.6单只球管最大散热率（非等效）:≥1697kHU/min</w:t>
            </w:r>
          </w:p>
          <w:p w14:paraId="41BEA0EE">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4.7球管支持扫描模式：轴扫模式、螺旋扫描模式、能量扫描模式</w:t>
            </w:r>
          </w:p>
          <w:p w14:paraId="250C6832">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▲4.8</w:t>
            </w:r>
            <w:r>
              <w:rPr>
                <w:rFonts w:hint="eastAsia" w:ascii="宋体" w:hAnsi="宋体" w:eastAsia="宋体" w:cs="Arial"/>
                <w:color w:val="auto"/>
                <w:kern w:val="0"/>
                <w:sz w:val="24"/>
                <w:szCs w:val="24"/>
                <w:highlight w:val="none"/>
                <w:lang w:val="en-US" w:eastAsia="zh-CN"/>
              </w:rPr>
              <w:t xml:space="preserve"> </w:t>
            </w:r>
            <w:r>
              <w:rPr>
                <w:rFonts w:hint="eastAsia" w:ascii="宋体" w:hAnsi="宋体" w:eastAsia="宋体" w:cs="Arial"/>
                <w:color w:val="auto"/>
                <w:kern w:val="0"/>
                <w:sz w:val="24"/>
                <w:szCs w:val="24"/>
                <w:highlight w:val="none"/>
              </w:rPr>
              <w:t>X射线球管、高压发生器、探测器为CT整机同品牌厂商研发生产，应与所投标CT产品为同一品牌</w:t>
            </w:r>
          </w:p>
          <w:p w14:paraId="39DE08AA">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★4.9单组高压发生器实际功率(非等效)：≥105kW</w:t>
            </w:r>
          </w:p>
          <w:p w14:paraId="3C9A3332">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4.10单组高压发生器输出管电压档位（数值档位）：≥4档</w:t>
            </w:r>
          </w:p>
          <w:p w14:paraId="52D26603">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4.11单组高压发生器输出最大管电压：≥140kV</w:t>
            </w:r>
          </w:p>
          <w:p w14:paraId="6FCB7482">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▲4.12高压发生器输出最小管电压：≤70kV</w:t>
            </w:r>
          </w:p>
          <w:p w14:paraId="3E271A07">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4.14冷却方式：风冷或水冷</w:t>
            </w:r>
          </w:p>
          <w:p w14:paraId="08606C94">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w:t>
            </w:r>
            <w:r>
              <w:rPr>
                <w:rFonts w:hint="eastAsia" w:ascii="宋体" w:hAnsi="宋体" w:eastAsia="宋体" w:cs="Arial"/>
                <w:color w:val="auto"/>
                <w:kern w:val="0"/>
                <w:sz w:val="24"/>
                <w:szCs w:val="24"/>
                <w:highlight w:val="none"/>
                <w:lang w:val="en-US" w:eastAsia="zh-CN"/>
              </w:rPr>
              <w:t>.</w:t>
            </w:r>
            <w:r>
              <w:rPr>
                <w:rFonts w:hint="eastAsia" w:ascii="宋体" w:hAnsi="宋体" w:eastAsia="宋体" w:cs="Arial"/>
                <w:color w:val="auto"/>
                <w:kern w:val="0"/>
                <w:sz w:val="24"/>
                <w:szCs w:val="24"/>
                <w:highlight w:val="none"/>
              </w:rPr>
              <w:t>扫描床</w:t>
            </w:r>
          </w:p>
          <w:p w14:paraId="1B67D669">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5.1扫描床最大承重：≥200KG</w:t>
            </w:r>
          </w:p>
          <w:p w14:paraId="0CFE3670">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5.2扫描床最大水平移动速度：≥200mm/秒</w:t>
            </w:r>
          </w:p>
          <w:p w14:paraId="12EB66E0">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5.3扫描床移床精度：≤±0.25mm</w:t>
            </w:r>
          </w:p>
          <w:p w14:paraId="1A74AF09">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5.4扫描床具备控制脚踏开关</w:t>
            </w:r>
          </w:p>
          <w:p w14:paraId="154C106B">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5.5扫描床面垂直升降最低高度：≤50cm</w:t>
            </w:r>
          </w:p>
          <w:p w14:paraId="372BB60B">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5.6扫描床面垂直升降最高高度：≥90cm</w:t>
            </w:r>
          </w:p>
          <w:p w14:paraId="09E65156">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5.7扫描床最大水平移动范围：≥1800mm</w:t>
            </w:r>
          </w:p>
          <w:p w14:paraId="62D92FD9">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6</w:t>
            </w:r>
            <w:r>
              <w:rPr>
                <w:rFonts w:hint="eastAsia" w:ascii="宋体" w:hAnsi="宋体" w:eastAsia="宋体" w:cs="Arial"/>
                <w:color w:val="auto"/>
                <w:kern w:val="0"/>
                <w:sz w:val="24"/>
                <w:szCs w:val="24"/>
                <w:highlight w:val="none"/>
                <w:lang w:val="en-US" w:eastAsia="zh-CN"/>
              </w:rPr>
              <w:t>.</w:t>
            </w:r>
            <w:r>
              <w:rPr>
                <w:rFonts w:hint="eastAsia" w:ascii="宋体" w:hAnsi="宋体" w:eastAsia="宋体" w:cs="Arial"/>
                <w:color w:val="auto"/>
                <w:kern w:val="0"/>
                <w:sz w:val="24"/>
                <w:szCs w:val="24"/>
                <w:highlight w:val="none"/>
              </w:rPr>
              <w:t>图像质量</w:t>
            </w:r>
          </w:p>
          <w:p w14:paraId="0641EF91">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6.1高对比度空间分辨率：≤0.33mm</w:t>
            </w:r>
          </w:p>
          <w:p w14:paraId="4292D724">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6.2空间分辨率（10%MTF）：≥16Lp/cm</w:t>
            </w:r>
          </w:p>
          <w:p w14:paraId="2690DE8A">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6.3低对比度分辨率（5mm@0.3%）</w:t>
            </w:r>
          </w:p>
          <w:p w14:paraId="60A8C4DD">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7主控制台</w:t>
            </w:r>
          </w:p>
          <w:p w14:paraId="54E37E02">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7.1主控制台主频：≥8GHz</w:t>
            </w:r>
          </w:p>
          <w:p w14:paraId="495049BD">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7.2主控制台内存：≥64GB</w:t>
            </w:r>
          </w:p>
          <w:p w14:paraId="67BAD9D2">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7.3主控制台存储容量：≥1TB</w:t>
            </w:r>
          </w:p>
          <w:p w14:paraId="52E08328">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7.4主控制台图像存储量：≥1000000幅（512X512不压缩）</w:t>
            </w:r>
          </w:p>
          <w:p w14:paraId="2C9D302C">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7.5主控制台显示器尺寸：≥19英寸</w:t>
            </w:r>
          </w:p>
          <w:p w14:paraId="6D302DB3">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7.6主控制台显示器个数：≥1个</w:t>
            </w:r>
          </w:p>
          <w:p w14:paraId="5DEDD8AF">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7.7主控制台图像格式和传输储存：DICOM3.0标准协议</w:t>
            </w:r>
          </w:p>
          <w:p w14:paraId="597CDF80">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7.8主控制台具备USB3.0外置硬盘接口</w:t>
            </w:r>
          </w:p>
          <w:p w14:paraId="21E7C221">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7.9主控制台具备实时传送至多个工作站和PACS功能</w:t>
            </w:r>
          </w:p>
          <w:p w14:paraId="085DAC6A">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7.10主控制台双向交流系统：具备自动病人呼吸屏气辅助控制系统，支持双向语音传输，并可录制病人呼吸指令</w:t>
            </w:r>
          </w:p>
          <w:p w14:paraId="02004410">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7.11主控制台具备扫描序列的关键词高级搜索功能</w:t>
            </w:r>
          </w:p>
          <w:p w14:paraId="3C1B7A85">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7.12主控制台具备进行多任务并行重建功能，并能够重建后直接传输到PACs</w:t>
            </w:r>
          </w:p>
          <w:p w14:paraId="1B51D9B6">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7.13主控制台具备图文可视化操作界面</w:t>
            </w:r>
          </w:p>
          <w:p w14:paraId="65D55E21">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7.14主控制台具备扫描剂量预估功能</w:t>
            </w:r>
          </w:p>
          <w:p w14:paraId="13D2FC60">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7.15主控制台具备儿童80kV专有低剂量扫描协议</w:t>
            </w:r>
          </w:p>
          <w:p w14:paraId="432CF2EB">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w:t>
            </w:r>
            <w:r>
              <w:rPr>
                <w:rFonts w:hint="eastAsia" w:ascii="宋体" w:hAnsi="宋体" w:eastAsia="宋体" w:cs="Arial"/>
                <w:color w:val="auto"/>
                <w:kern w:val="0"/>
                <w:sz w:val="24"/>
                <w:szCs w:val="24"/>
                <w:highlight w:val="none"/>
                <w:lang w:val="en-US" w:eastAsia="zh-CN"/>
              </w:rPr>
              <w:t>.</w:t>
            </w:r>
            <w:r>
              <w:rPr>
                <w:rFonts w:hint="eastAsia" w:ascii="宋体" w:hAnsi="宋体" w:eastAsia="宋体" w:cs="Arial"/>
                <w:color w:val="auto"/>
                <w:kern w:val="0"/>
                <w:sz w:val="24"/>
                <w:szCs w:val="24"/>
                <w:highlight w:val="none"/>
              </w:rPr>
              <w:t>扫描系统</w:t>
            </w:r>
          </w:p>
          <w:p w14:paraId="0F37A06E">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8.1轴扫最大Z轴覆盖范围/360°：≥16cm</w:t>
            </w:r>
          </w:p>
          <w:p w14:paraId="1F3D8631">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▲8.2轴扫最多图像重建层数/360°：≥512层</w:t>
            </w:r>
          </w:p>
          <w:p w14:paraId="3A1712F6">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8.3扫描系统具备轴扫和螺旋等不同扫描模式融合扫描功能</w:t>
            </w:r>
          </w:p>
          <w:p w14:paraId="0DD9FA35">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8.4定位像最大扫描长度：≥1800mm</w:t>
            </w:r>
          </w:p>
          <w:p w14:paraId="43CF1833">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8.5最薄图像扫描层厚：≤0.625m</w:t>
            </w:r>
          </w:p>
          <w:p w14:paraId="4E83444C">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8.6最大显示野：≥50cm</w:t>
            </w:r>
          </w:p>
          <w:p w14:paraId="306C0A29">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8.7图像重建矩阵：≥512x512</w:t>
            </w:r>
          </w:p>
          <w:p w14:paraId="464461E8">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8.8能量成像最大显示野：≥32cm</w:t>
            </w:r>
          </w:p>
          <w:p w14:paraId="1CFAAA21">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8.9任意心律下的心脏前门控轴扫技术</w:t>
            </w:r>
          </w:p>
          <w:p w14:paraId="540FC243">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8.10机架内置心电门控装置：机架内置一体化心电监控及心电图显示系统，无需外接心电监护仪</w:t>
            </w:r>
          </w:p>
          <w:p w14:paraId="464BD5F3">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8.11ECG实时监测功能</w:t>
            </w:r>
          </w:p>
          <w:p w14:paraId="33B78476">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8.12ECG自动毫安调控功能</w:t>
            </w:r>
          </w:p>
          <w:p w14:paraId="4BB67C2B">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8.13最快心脏扫描时间分辨率：≤25ms</w:t>
            </w:r>
          </w:p>
          <w:p w14:paraId="684132E7">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8.14任意心率、心律下心脏扫描时的心跳数量：≤3个</w:t>
            </w:r>
          </w:p>
          <w:p w14:paraId="15E1F30E">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8.15胸痛三联征检查技术</w:t>
            </w:r>
          </w:p>
          <w:p w14:paraId="7B4AAD50">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8.16一站式心脑联合扫描功能</w:t>
            </w:r>
          </w:p>
          <w:p w14:paraId="132A6AD6">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w:t>
            </w:r>
            <w:r>
              <w:rPr>
                <w:rFonts w:hint="eastAsia" w:ascii="宋体" w:hAnsi="宋体" w:eastAsia="宋体" w:cs="Arial"/>
                <w:color w:val="auto"/>
                <w:kern w:val="0"/>
                <w:sz w:val="24"/>
                <w:szCs w:val="24"/>
                <w:highlight w:val="none"/>
                <w:lang w:val="en-US" w:eastAsia="zh-CN"/>
              </w:rPr>
              <w:t>.</w:t>
            </w:r>
            <w:r>
              <w:rPr>
                <w:rFonts w:hint="eastAsia" w:ascii="宋体" w:hAnsi="宋体" w:eastAsia="宋体" w:cs="Arial"/>
                <w:color w:val="auto"/>
                <w:kern w:val="0"/>
                <w:sz w:val="24"/>
                <w:szCs w:val="24"/>
                <w:highlight w:val="none"/>
              </w:rPr>
              <w:t>能量主机重建系统</w:t>
            </w:r>
          </w:p>
          <w:p w14:paraId="58691549">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▲9.1</w:t>
            </w:r>
            <w:r>
              <w:rPr>
                <w:rFonts w:hint="eastAsia" w:ascii="宋体" w:hAnsi="宋体" w:eastAsia="宋体" w:cs="Arial"/>
                <w:color w:val="auto"/>
                <w:kern w:val="0"/>
                <w:sz w:val="24"/>
                <w:szCs w:val="24"/>
                <w:highlight w:val="none"/>
                <w:lang w:val="en-US" w:eastAsia="zh-CN"/>
              </w:rPr>
              <w:t xml:space="preserve"> </w:t>
            </w:r>
            <w:r>
              <w:rPr>
                <w:rFonts w:hint="eastAsia" w:ascii="宋体" w:hAnsi="宋体" w:eastAsia="宋体" w:cs="Arial"/>
                <w:color w:val="auto"/>
                <w:kern w:val="0"/>
                <w:sz w:val="24"/>
                <w:szCs w:val="24"/>
                <w:highlight w:val="none"/>
              </w:rPr>
              <w:t>CT主控制台系统能够0.5ms内获得两组不同能量数据用于高精度能量成像。</w:t>
            </w:r>
          </w:p>
          <w:p w14:paraId="10164AC4">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9.2能谱去金属伪影</w:t>
            </w:r>
          </w:p>
          <w:p w14:paraId="25421E9D">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9.3具备物质能量曲线绘制功能</w:t>
            </w:r>
          </w:p>
          <w:p w14:paraId="2AE627D5">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9.4有效原子序数参数</w:t>
            </w:r>
          </w:p>
          <w:p w14:paraId="2DBAD519">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9.5尿酸图像成像功能</w:t>
            </w:r>
          </w:p>
          <w:p w14:paraId="55CEA603">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9.6虚拟平扫图像成像分析功能</w:t>
            </w:r>
          </w:p>
          <w:p w14:paraId="59AAC670">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9.7碘密度图像分析功能</w:t>
            </w:r>
          </w:p>
          <w:p w14:paraId="45098792">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10</w:t>
            </w:r>
            <w:r>
              <w:rPr>
                <w:rFonts w:hint="eastAsia" w:ascii="宋体" w:hAnsi="宋体" w:eastAsia="宋体" w:cs="Arial"/>
                <w:color w:val="auto"/>
                <w:kern w:val="0"/>
                <w:sz w:val="24"/>
                <w:szCs w:val="24"/>
                <w:highlight w:val="none"/>
                <w:lang w:val="en-US" w:eastAsia="zh-CN"/>
              </w:rPr>
              <w:t>.</w:t>
            </w:r>
            <w:r>
              <w:rPr>
                <w:rFonts w:hint="eastAsia" w:ascii="宋体" w:hAnsi="宋体" w:eastAsia="宋体" w:cs="Arial"/>
                <w:color w:val="auto"/>
                <w:kern w:val="0"/>
                <w:sz w:val="24"/>
                <w:szCs w:val="24"/>
                <w:highlight w:val="none"/>
              </w:rPr>
              <w:t>4D动态成像功能</w:t>
            </w:r>
          </w:p>
          <w:p w14:paraId="69F53745">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10.1</w:t>
            </w:r>
            <w:r>
              <w:rPr>
                <w:rFonts w:hint="eastAsia" w:ascii="宋体" w:hAnsi="宋体" w:eastAsia="宋体" w:cs="Arial"/>
                <w:color w:val="auto"/>
                <w:kern w:val="0"/>
                <w:sz w:val="24"/>
                <w:szCs w:val="24"/>
                <w:highlight w:val="none"/>
                <w:lang w:val="en-US" w:eastAsia="zh-CN"/>
              </w:rPr>
              <w:t xml:space="preserve"> </w:t>
            </w:r>
            <w:r>
              <w:rPr>
                <w:rFonts w:hint="eastAsia" w:ascii="宋体" w:hAnsi="宋体" w:eastAsia="宋体" w:cs="Arial"/>
                <w:color w:val="auto"/>
                <w:kern w:val="0"/>
                <w:sz w:val="24"/>
                <w:szCs w:val="24"/>
                <w:highlight w:val="none"/>
              </w:rPr>
              <w:t>4D成像技术方式：轴扫或者螺旋</w:t>
            </w:r>
          </w:p>
          <w:p w14:paraId="351D9AAF">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10.2</w:t>
            </w:r>
            <w:r>
              <w:rPr>
                <w:rFonts w:hint="eastAsia" w:ascii="宋体" w:hAnsi="宋体" w:eastAsia="宋体" w:cs="Arial"/>
                <w:color w:val="auto"/>
                <w:kern w:val="0"/>
                <w:sz w:val="24"/>
                <w:szCs w:val="24"/>
                <w:highlight w:val="none"/>
                <w:lang w:val="en-US" w:eastAsia="zh-CN"/>
              </w:rPr>
              <w:t xml:space="preserve"> </w:t>
            </w:r>
            <w:r>
              <w:rPr>
                <w:rFonts w:hint="eastAsia" w:ascii="宋体" w:hAnsi="宋体" w:eastAsia="宋体" w:cs="Arial"/>
                <w:color w:val="auto"/>
                <w:kern w:val="0"/>
                <w:sz w:val="24"/>
                <w:szCs w:val="24"/>
                <w:highlight w:val="none"/>
              </w:rPr>
              <w:t>4D动态扫描时，可调模式：具备</w:t>
            </w:r>
          </w:p>
          <w:p w14:paraId="5D58E152">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10.3全脑轴扫动态灌注成像范围：≥8cm</w:t>
            </w:r>
          </w:p>
          <w:p w14:paraId="3DEC9F12">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10.4</w:t>
            </w:r>
            <w:r>
              <w:rPr>
                <w:rFonts w:hint="eastAsia" w:ascii="宋体" w:hAnsi="宋体" w:eastAsia="宋体" w:cs="Arial"/>
                <w:color w:val="auto"/>
                <w:kern w:val="0"/>
                <w:sz w:val="24"/>
                <w:szCs w:val="24"/>
                <w:highlight w:val="none"/>
                <w:lang w:val="en-US" w:eastAsia="zh-CN"/>
              </w:rPr>
              <w:t xml:space="preserve"> </w:t>
            </w:r>
            <w:r>
              <w:rPr>
                <w:rFonts w:hint="eastAsia" w:ascii="宋体" w:hAnsi="宋体" w:eastAsia="宋体" w:cs="Arial"/>
                <w:color w:val="auto"/>
                <w:kern w:val="0"/>
                <w:sz w:val="24"/>
                <w:szCs w:val="24"/>
                <w:highlight w:val="none"/>
              </w:rPr>
              <w:t>4D灌注软件功能包含BV、BF、MTT、TMax等灌注分析参数</w:t>
            </w:r>
          </w:p>
          <w:p w14:paraId="7854BE0A">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10.5急诊卒中专用侧支循环分析功能</w:t>
            </w:r>
          </w:p>
          <w:p w14:paraId="350365F9">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10.6头颈血管CT减影类DSA功能</w:t>
            </w:r>
          </w:p>
          <w:p w14:paraId="38FBA730">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10.7动态心肌灌注范围：≥16cm</w:t>
            </w:r>
          </w:p>
          <w:p w14:paraId="7C6655C4">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10.8动态4D图像相位校准功能</w:t>
            </w:r>
          </w:p>
          <w:p w14:paraId="15754920">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10.9心肌长短轴分析功能</w:t>
            </w:r>
          </w:p>
          <w:p w14:paraId="5D7789C8">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10.1</w:t>
            </w:r>
            <w:r>
              <w:rPr>
                <w:rFonts w:hint="eastAsia" w:ascii="宋体" w:hAnsi="宋体" w:eastAsia="宋体" w:cs="Arial"/>
                <w:color w:val="auto"/>
                <w:kern w:val="0"/>
                <w:sz w:val="24"/>
                <w:szCs w:val="24"/>
                <w:highlight w:val="none"/>
                <w:lang w:val="en-US" w:eastAsia="zh-CN"/>
              </w:rPr>
              <w:t>0</w:t>
            </w:r>
            <w:r>
              <w:rPr>
                <w:rFonts w:hint="eastAsia" w:ascii="宋体" w:hAnsi="宋体" w:eastAsia="宋体" w:cs="Arial"/>
                <w:color w:val="auto"/>
                <w:kern w:val="0"/>
                <w:sz w:val="24"/>
                <w:szCs w:val="24"/>
                <w:highlight w:val="none"/>
              </w:rPr>
              <w:t>心肌可自动分为17节段图</w:t>
            </w:r>
          </w:p>
          <w:p w14:paraId="0D89B4BC">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10.11心肌血流量、血流速、平均通过时间等灌注定量分析功能</w:t>
            </w:r>
          </w:p>
          <w:p w14:paraId="271C2485">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w:t>
            </w:r>
            <w:r>
              <w:rPr>
                <w:rFonts w:hint="eastAsia" w:ascii="宋体" w:hAnsi="宋体" w:eastAsia="宋体" w:cs="Arial"/>
                <w:color w:val="auto"/>
                <w:kern w:val="0"/>
                <w:sz w:val="24"/>
                <w:szCs w:val="24"/>
                <w:highlight w:val="none"/>
                <w:lang w:val="en-US" w:eastAsia="zh-CN"/>
              </w:rPr>
              <w:t>.</w:t>
            </w:r>
            <w:r>
              <w:rPr>
                <w:rFonts w:hint="eastAsia" w:ascii="宋体" w:hAnsi="宋体" w:eastAsia="宋体" w:cs="Arial"/>
                <w:color w:val="auto"/>
                <w:kern w:val="0"/>
                <w:sz w:val="24"/>
                <w:szCs w:val="24"/>
                <w:highlight w:val="none"/>
              </w:rPr>
              <w:t>主机重建系统</w:t>
            </w:r>
          </w:p>
          <w:p w14:paraId="49FECBD0">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11.1具备除主机之外的重建服务器</w:t>
            </w:r>
          </w:p>
          <w:p w14:paraId="70AF76A7">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11.2重建系统的重建速度：≥40幅/秒</w:t>
            </w:r>
          </w:p>
          <w:p w14:paraId="290E9A57">
            <w:pPr>
              <w:keepNext w:val="0"/>
              <w:keepLines w:val="0"/>
              <w:pageBreakBefore w:val="0"/>
              <w:widowControl w:val="0"/>
              <w:tabs>
                <w:tab w:val="left" w:pos="420"/>
              </w:tabs>
              <w:kinsoku/>
              <w:wordWrap w:val="0"/>
              <w:overflowPunct/>
              <w:topLinePunct w:val="0"/>
              <w:autoSpaceDE/>
              <w:autoSpaceDN/>
              <w:bidi w:val="0"/>
              <w:adjustRightInd/>
              <w:snapToGrid/>
              <w:textAlignment w:val="auto"/>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▲11.3深度学习算法：提供投标平台已注册的最新技术。要求须提供TrueFidelity,或AiCE,或QuantumTechnology，或PreciseImage,或AIIRPro,或ClearInfinity，其他品牌须提供同档次最新技术。</w:t>
            </w:r>
          </w:p>
          <w:p w14:paraId="49FE50DF">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11.4高级迭代算法：提供投标平台已注册的最新技术。要求须提供Asir-V，或ADMIRE，或IMR+iDose，或AIIR，其他品牌须提供同档次最新技术。</w:t>
            </w:r>
          </w:p>
          <w:p w14:paraId="7E4A5AC6">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11.5具备容积高清重建算法</w:t>
            </w:r>
          </w:p>
          <w:p w14:paraId="7F9A3650">
            <w:pPr>
              <w:keepNext w:val="0"/>
              <w:keepLines w:val="0"/>
              <w:pageBreakBefore w:val="0"/>
              <w:widowControl w:val="0"/>
              <w:numPr>
                <w:ilvl w:val="0"/>
                <w:numId w:val="1"/>
              </w:numPr>
              <w:tabs>
                <w:tab w:val="left" w:pos="420"/>
                <w:tab w:val="clear" w:pos="312"/>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工作站： 提供原厂原装独立高级三维图像后处理工作站（GE提供AW工作站，西门子提供Syngo.via Frontier工作站，飞利浦提供进口星云工作站，佳能提供Vitrea工作站，</w:t>
            </w:r>
            <w:r>
              <w:rPr>
                <w:rFonts w:hint="eastAsia" w:ascii="宋体" w:hAnsi="宋体" w:eastAsia="宋体" w:cs="Arial"/>
                <w:color w:val="auto"/>
                <w:kern w:val="0"/>
                <w:sz w:val="24"/>
                <w:szCs w:val="24"/>
                <w:highlight w:val="none"/>
                <w:lang w:eastAsia="zh-CN"/>
              </w:rPr>
              <w:t>或</w:t>
            </w:r>
            <w:r>
              <w:rPr>
                <w:rFonts w:hint="eastAsia" w:ascii="宋体" w:hAnsi="宋体" w:eastAsia="宋体" w:cs="Arial"/>
                <w:color w:val="auto"/>
                <w:kern w:val="0"/>
                <w:sz w:val="24"/>
                <w:szCs w:val="24"/>
                <w:highlight w:val="none"/>
              </w:rPr>
              <w:t>其他厂家提供</w:t>
            </w:r>
            <w:r>
              <w:rPr>
                <w:rFonts w:hint="eastAsia" w:ascii="宋体" w:hAnsi="宋体" w:eastAsia="宋体" w:cs="Arial"/>
                <w:color w:val="auto"/>
                <w:kern w:val="0"/>
                <w:sz w:val="24"/>
                <w:szCs w:val="24"/>
                <w:highlight w:val="none"/>
                <w:lang w:eastAsia="zh-CN"/>
              </w:rPr>
              <w:t>不低于上述平台的独立后处理工作站。</w:t>
            </w:r>
          </w:p>
          <w:p w14:paraId="5A8A9159">
            <w:pPr>
              <w:keepNext w:val="0"/>
              <w:keepLines w:val="0"/>
              <w:pageBreakBefore w:val="0"/>
              <w:widowControl w:val="0"/>
              <w:numPr>
                <w:ilvl w:val="0"/>
                <w:numId w:val="0"/>
              </w:numPr>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12.1工作站主频：≥3GHZ</w:t>
            </w:r>
          </w:p>
          <w:p w14:paraId="180B5467">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12.2工作站内存：≥64GB</w:t>
            </w:r>
          </w:p>
          <w:p w14:paraId="2CF61331">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12.3工作站显示屏数量：≥2个</w:t>
            </w:r>
          </w:p>
          <w:p w14:paraId="70706329">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12.4作站图像存储数量：≥1500000幅（512x512矩阵）</w:t>
            </w:r>
          </w:p>
          <w:p w14:paraId="5D3AE8A2">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12.5主机和工作站之间有1000M网卡连接</w:t>
            </w:r>
          </w:p>
          <w:p w14:paraId="0890B745">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12.6工作站数量：≥1套</w:t>
            </w:r>
          </w:p>
          <w:p w14:paraId="3BAEB1A0">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12.7工作站接口与主机一致</w:t>
            </w:r>
          </w:p>
          <w:p w14:paraId="22E95E8D">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12.8工作站图像信息智能搜索平台，能够自动地根据病人信息从PACS系统中调用DICOM图像</w:t>
            </w:r>
          </w:p>
          <w:p w14:paraId="6B7E1F22">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12.9工作站具备多任务预处理加载平台，在后台中进行图像预处理以加快分析流程</w:t>
            </w:r>
          </w:p>
          <w:p w14:paraId="647B29C1">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12.10工作站具备放射科信息管理系统自动连接功能</w:t>
            </w:r>
          </w:p>
          <w:p w14:paraId="0AC3C194">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13</w:t>
            </w:r>
            <w:r>
              <w:rPr>
                <w:rFonts w:hint="eastAsia" w:ascii="宋体" w:hAnsi="宋体" w:eastAsia="宋体" w:cs="Arial"/>
                <w:color w:val="auto"/>
                <w:kern w:val="0"/>
                <w:sz w:val="24"/>
                <w:szCs w:val="24"/>
                <w:highlight w:val="none"/>
                <w:lang w:val="en-US" w:eastAsia="zh-CN"/>
              </w:rPr>
              <w:t>.</w:t>
            </w:r>
            <w:r>
              <w:rPr>
                <w:rFonts w:hint="eastAsia" w:ascii="宋体" w:hAnsi="宋体" w:eastAsia="宋体" w:cs="Arial"/>
                <w:color w:val="auto"/>
                <w:kern w:val="0"/>
                <w:sz w:val="24"/>
                <w:szCs w:val="24"/>
                <w:highlight w:val="none"/>
              </w:rPr>
              <w:t>后处理工作站基本功能要求</w:t>
            </w:r>
          </w:p>
          <w:p w14:paraId="15A00F80">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13.1二维图像分析功能</w:t>
            </w:r>
          </w:p>
          <w:p w14:paraId="2D68EDAB">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13.2三维图像分析功能</w:t>
            </w:r>
          </w:p>
          <w:p w14:paraId="7348C986">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13.3自动勾画病灶轮廓功能</w:t>
            </w:r>
          </w:p>
          <w:p w14:paraId="6B66D1C4">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13.4不同序列对比分析功能</w:t>
            </w:r>
          </w:p>
          <w:p w14:paraId="63419CC3">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13.5多期相融合分析功能</w:t>
            </w:r>
          </w:p>
          <w:p w14:paraId="477294AE">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13.6三维内窥镜分析工具</w:t>
            </w:r>
          </w:p>
          <w:p w14:paraId="330E4092">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13.7曲面成像功能</w:t>
            </w:r>
          </w:p>
          <w:p w14:paraId="34294EDE">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13.8二维、三维图像测量功能</w:t>
            </w:r>
          </w:p>
          <w:p w14:paraId="0C77BF30">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13.9后处理后的图像传输、打印功能</w:t>
            </w:r>
          </w:p>
          <w:p w14:paraId="4F3A5A10">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14</w:t>
            </w:r>
            <w:r>
              <w:rPr>
                <w:rFonts w:hint="eastAsia" w:ascii="宋体" w:hAnsi="宋体" w:eastAsia="宋体" w:cs="Arial"/>
                <w:color w:val="auto"/>
                <w:kern w:val="0"/>
                <w:sz w:val="24"/>
                <w:szCs w:val="24"/>
                <w:highlight w:val="none"/>
                <w:lang w:val="en-US" w:eastAsia="zh-CN"/>
              </w:rPr>
              <w:t>.</w:t>
            </w:r>
            <w:r>
              <w:rPr>
                <w:rFonts w:hint="eastAsia" w:ascii="宋体" w:hAnsi="宋体" w:eastAsia="宋体" w:cs="Arial"/>
                <w:color w:val="auto"/>
                <w:kern w:val="0"/>
                <w:sz w:val="24"/>
                <w:szCs w:val="24"/>
                <w:highlight w:val="none"/>
              </w:rPr>
              <w:t>后处理工作站高级功能要求</w:t>
            </w:r>
          </w:p>
          <w:p w14:paraId="7BE5F2DB">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14.1可自动肺组织提取重建</w:t>
            </w:r>
          </w:p>
          <w:p w14:paraId="31AED814">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14.2可自动筛选并突出显示异常和潜在恶性的肺实质性结节病灶</w:t>
            </w:r>
          </w:p>
          <w:p w14:paraId="2E54E4C1">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14.3可定量分析结节的容积、成份、密度及倍增时间</w:t>
            </w:r>
          </w:p>
          <w:p w14:paraId="2F4411B2">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14.4可自动肺叶及气道自动分离技术</w:t>
            </w:r>
          </w:p>
          <w:p w14:paraId="5E85713A">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14.5可自动气道壁和管腔内外壁的直径测量</w:t>
            </w:r>
          </w:p>
          <w:p w14:paraId="4715109E">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14.6可实现全肺肺气肿分析</w:t>
            </w:r>
          </w:p>
          <w:p w14:paraId="637B563C">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14.7自动去骨功能</w:t>
            </w:r>
          </w:p>
          <w:p w14:paraId="1BE402EF">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14.8冠状动脉树自动提取功能：具备</w:t>
            </w:r>
          </w:p>
          <w:p w14:paraId="40C49A13">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14.9冠状动脉名称自动标识功能</w:t>
            </w:r>
          </w:p>
          <w:p w14:paraId="7862890B">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14.10自动预处理冠脉束提取、血管分析、血管探针等三维后处理功能</w:t>
            </w:r>
          </w:p>
          <w:p w14:paraId="3E2BED8F">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14.11冠脉钙化积分分析功能</w:t>
            </w:r>
          </w:p>
          <w:p w14:paraId="47961569">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14.12心脏运动分析功能</w:t>
            </w:r>
          </w:p>
          <w:p w14:paraId="34D1F133">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14.13可实现单心跳心肌运动范围分析功能</w:t>
            </w:r>
          </w:p>
          <w:p w14:paraId="1627242C">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14.14可实现射血分数分析功能</w:t>
            </w:r>
          </w:p>
          <w:p w14:paraId="44931DFD">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14.15心肌质量评估功能</w:t>
            </w:r>
          </w:p>
          <w:p w14:paraId="7606DFF0">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14.16心肌组织17分段牛眼图分析软件：自动计算并生成室壁厚度、室壁增厚率和室壁运动的17分段牛眼图</w:t>
            </w:r>
          </w:p>
          <w:p w14:paraId="13C1FCB9">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14.17冠脉分布彩色地形图：具备基于牛眼图的心肌供血冠脉分布彩色地形图</w:t>
            </w:r>
          </w:p>
          <w:p w14:paraId="1F4C5FFF">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14.18周围血管分析功能</w:t>
            </w:r>
          </w:p>
          <w:p w14:paraId="5C727B08">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14.19自动血管循迹，提取和显示以及血管尺寸的测量</w:t>
            </w:r>
          </w:p>
          <w:p w14:paraId="74C0B7F4">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14.20自动探查血管中轴</w:t>
            </w:r>
          </w:p>
          <w:p w14:paraId="28E95C67">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14.21快速循迹血管分支成像，分别显示弯曲血管，血管横，纵，斜截面图象</w:t>
            </w:r>
          </w:p>
          <w:p w14:paraId="71CFCCB5">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14.22编辑血管轮廓时自动插入临近血管信息</w:t>
            </w:r>
          </w:p>
          <w:p w14:paraId="3E2A15F8">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14.23管腔曲面重建成像</w:t>
            </w:r>
          </w:p>
          <w:p w14:paraId="3BC503EB">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14.24最佳纵轴重建成像</w:t>
            </w:r>
          </w:p>
          <w:p w14:paraId="5DE3B62B">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14.25对目标血管节段进行定量分析，包括（血管长度、横截面积、血管狭窄比率、容积、血管平均直径、最小直径、最大直径）</w:t>
            </w:r>
          </w:p>
          <w:p w14:paraId="5B90B6D3">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14.26对血栓进行检测和分析功能</w:t>
            </w:r>
          </w:p>
          <w:p w14:paraId="6A8127FF">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14.27脑出血测量功能</w:t>
            </w:r>
          </w:p>
          <w:p w14:paraId="2875E096">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14.28肝体积测量功能</w:t>
            </w:r>
          </w:p>
          <w:p w14:paraId="1BAF3048">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14.29肝脏多期相融合技术</w:t>
            </w:r>
          </w:p>
          <w:p w14:paraId="6F6DD1EB">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14.30结肠全景显示软件</w:t>
            </w:r>
          </w:p>
          <w:p w14:paraId="69E64972">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14.31结肠仿真飞行软件</w:t>
            </w:r>
          </w:p>
          <w:p w14:paraId="439451DE">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14.32结肠透明化显示功能</w:t>
            </w:r>
          </w:p>
          <w:p w14:paraId="7BF79F3D">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14.33结肠病灶三维测量功能</w:t>
            </w:r>
          </w:p>
          <w:p w14:paraId="77698B4E">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14.34脊柱自动标记功能</w:t>
            </w:r>
          </w:p>
          <w:p w14:paraId="35B8AEE3">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14.35脊柱自动横轴位标记功能</w:t>
            </w:r>
          </w:p>
          <w:p w14:paraId="6CC6854E">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14.36脊柱自动冠状位标记功能</w:t>
            </w:r>
          </w:p>
          <w:p w14:paraId="027C9933">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14.37脊柱自动矢状位标记功能</w:t>
            </w:r>
          </w:p>
          <w:p w14:paraId="59BCD3FB">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14.383D打印格式输出功能</w:t>
            </w:r>
          </w:p>
          <w:p w14:paraId="7A784775">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14.39高级实景渲染功能</w:t>
            </w:r>
          </w:p>
          <w:p w14:paraId="4ADDCBF9">
            <w:pPr>
              <w:keepNext w:val="0"/>
              <w:keepLines w:val="0"/>
              <w:pageBreakBefore w:val="0"/>
              <w:widowControl w:val="0"/>
              <w:numPr>
                <w:ilvl w:val="0"/>
                <w:numId w:val="0"/>
              </w:numPr>
              <w:tabs>
                <w:tab w:val="left" w:pos="420"/>
              </w:tabs>
              <w:kinsoku/>
              <w:wordWrap/>
              <w:overflowPunct/>
              <w:topLinePunct w:val="0"/>
              <w:autoSpaceDE/>
              <w:autoSpaceDN/>
              <w:bidi w:val="0"/>
              <w:adjustRightInd/>
              <w:snapToGrid/>
              <w:rPr>
                <w:rFonts w:hint="default" w:ascii="宋体" w:hAnsi="宋体" w:eastAsia="宋体" w:cs="Arial"/>
                <w:color w:val="auto"/>
                <w:kern w:val="0"/>
                <w:sz w:val="24"/>
                <w:szCs w:val="24"/>
                <w:highlight w:val="none"/>
                <w:lang w:val="en-US" w:eastAsia="zh-CN"/>
              </w:rPr>
            </w:pPr>
            <w:r>
              <w:rPr>
                <w:rFonts w:hint="eastAsia" w:ascii="宋体" w:hAnsi="宋体" w:eastAsia="宋体" w:cs="Arial"/>
                <w:color w:val="auto"/>
                <w:kern w:val="0"/>
                <w:sz w:val="24"/>
                <w:szCs w:val="24"/>
                <w:highlight w:val="none"/>
                <w:lang w:val="en-US" w:eastAsia="zh-CN" w:bidi="ar-SA"/>
              </w:rPr>
              <w:t>15.</w:t>
            </w:r>
            <w:r>
              <w:rPr>
                <w:rFonts w:hint="eastAsia" w:ascii="宋体" w:hAnsi="宋体" w:eastAsia="宋体" w:cs="Arial"/>
                <w:color w:val="auto"/>
                <w:kern w:val="0"/>
                <w:sz w:val="24"/>
                <w:szCs w:val="24"/>
                <w:highlight w:val="none"/>
                <w:lang w:val="en-US" w:eastAsia="zh-CN"/>
              </w:rPr>
              <w:t>配套设备及服务</w:t>
            </w:r>
            <w:r>
              <w:rPr>
                <w:rFonts w:hint="eastAsia" w:ascii="宋体" w:hAnsi="宋体" w:eastAsia="宋体" w:cs="Arial"/>
                <w:color w:val="auto"/>
                <w:kern w:val="0"/>
                <w:sz w:val="24"/>
                <w:szCs w:val="24"/>
                <w:highlight w:val="none"/>
                <w:lang w:val="en-US" w:eastAsia="zh-CN"/>
              </w:rPr>
              <w:t>（须满足医共体实际需求）</w:t>
            </w:r>
          </w:p>
          <w:p w14:paraId="6087CC6A">
            <w:pPr>
              <w:keepNext w:val="0"/>
              <w:keepLines w:val="0"/>
              <w:pageBreakBefore w:val="0"/>
              <w:widowControl w:val="0"/>
              <w:numPr>
                <w:ilvl w:val="0"/>
                <w:numId w:val="0"/>
              </w:numPr>
              <w:tabs>
                <w:tab w:val="left" w:pos="420"/>
              </w:tabs>
              <w:kinsoku/>
              <w:wordWrap/>
              <w:overflowPunct/>
              <w:topLinePunct w:val="0"/>
              <w:autoSpaceDE/>
              <w:autoSpaceDN/>
              <w:bidi w:val="0"/>
              <w:adjustRightInd/>
              <w:snapToGrid/>
              <w:rPr>
                <w:rFonts w:hint="default" w:ascii="宋体" w:hAnsi="宋体" w:eastAsia="宋体" w:cs="Arial"/>
                <w:color w:val="auto"/>
                <w:kern w:val="0"/>
                <w:sz w:val="24"/>
                <w:szCs w:val="24"/>
                <w:highlight w:val="none"/>
                <w:lang w:val="en-US" w:eastAsia="zh-CN"/>
              </w:rPr>
            </w:pPr>
            <w:r>
              <w:rPr>
                <w:rFonts w:hint="eastAsia" w:ascii="宋体" w:hAnsi="宋体" w:eastAsia="宋体" w:cs="Arial"/>
                <w:color w:val="auto"/>
                <w:kern w:val="0"/>
                <w:sz w:val="24"/>
                <w:szCs w:val="24"/>
                <w:highlight w:val="none"/>
              </w:rPr>
              <w:t>（1）配套CT用无针筒式高压注射器1套、双筒高压注射器1套。</w:t>
            </w:r>
          </w:p>
          <w:p w14:paraId="495C43B7">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（2）AI人工智能后处理软件系统（</w:t>
            </w:r>
            <w:r>
              <w:rPr>
                <w:rFonts w:hint="eastAsia" w:ascii="宋体" w:hAnsi="宋体" w:eastAsia="宋体" w:cs="Arial"/>
                <w:color w:val="auto"/>
                <w:kern w:val="0"/>
                <w:sz w:val="24"/>
                <w:szCs w:val="24"/>
                <w:highlight w:val="none"/>
                <w:lang w:eastAsia="zh-CN"/>
              </w:rPr>
              <w:t>包括</w:t>
            </w:r>
            <w:r>
              <w:rPr>
                <w:rFonts w:hint="eastAsia" w:ascii="宋体" w:hAnsi="宋体" w:eastAsia="宋体" w:cs="Arial"/>
                <w:color w:val="auto"/>
                <w:kern w:val="0"/>
                <w:sz w:val="24"/>
                <w:szCs w:val="24"/>
                <w:highlight w:val="none"/>
              </w:rPr>
              <w:t>头颈、肺动脉，主动脉，冠脉及下肢CTA，脑灌注，肺结节，骨折，骨龄，非门控</w:t>
            </w:r>
            <w:r>
              <w:rPr>
                <w:rFonts w:hint="eastAsia" w:ascii="宋体" w:hAnsi="宋体" w:eastAsia="宋体" w:cs="Arial"/>
                <w:color w:val="auto"/>
                <w:kern w:val="0"/>
                <w:sz w:val="24"/>
                <w:szCs w:val="24"/>
                <w:highlight w:val="none"/>
                <w:lang w:eastAsia="zh-CN"/>
              </w:rPr>
              <w:t>钙化积分等部位</w:t>
            </w:r>
            <w:r>
              <w:rPr>
                <w:rFonts w:hint="eastAsia" w:ascii="宋体" w:hAnsi="宋体" w:eastAsia="宋体" w:cs="Arial"/>
                <w:color w:val="auto"/>
                <w:kern w:val="0"/>
                <w:sz w:val="24"/>
                <w:szCs w:val="24"/>
                <w:highlight w:val="none"/>
              </w:rPr>
              <w:t>）。（3）铅衣及防护罩4套，铅毯</w:t>
            </w:r>
            <w:r>
              <w:rPr>
                <w:rFonts w:hint="eastAsia" w:ascii="宋体" w:hAnsi="宋体" w:eastAsia="宋体" w:cs="Arial"/>
                <w:color w:val="auto"/>
                <w:kern w:val="0"/>
                <w:sz w:val="24"/>
                <w:szCs w:val="24"/>
                <w:highlight w:val="none"/>
                <w:lang w:val="en-US" w:eastAsia="zh-CN"/>
              </w:rPr>
              <w:t>4个</w:t>
            </w:r>
            <w:r>
              <w:rPr>
                <w:rFonts w:hint="eastAsia" w:ascii="宋体" w:hAnsi="宋体" w:eastAsia="宋体" w:cs="Arial"/>
                <w:color w:val="auto"/>
                <w:kern w:val="0"/>
                <w:sz w:val="24"/>
                <w:szCs w:val="24"/>
                <w:highlight w:val="none"/>
              </w:rPr>
              <w:t>。</w:t>
            </w:r>
          </w:p>
          <w:p w14:paraId="1C2BE18A">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（4）医共体内提供智能化阅片室相关软硬件及配套设施</w:t>
            </w:r>
            <w:r>
              <w:rPr>
                <w:rFonts w:hint="eastAsia" w:ascii="宋体" w:hAnsi="宋体" w:eastAsia="宋体" w:cs="Arial"/>
                <w:color w:val="auto"/>
                <w:kern w:val="0"/>
                <w:sz w:val="24"/>
                <w:szCs w:val="24"/>
                <w:highlight w:val="none"/>
                <w:lang w:eastAsia="zh-CN"/>
              </w:rPr>
              <w:t>（其中包括</w:t>
            </w:r>
            <w:r>
              <w:rPr>
                <w:rFonts w:hint="eastAsia" w:ascii="宋体" w:hAnsi="宋体" w:eastAsia="宋体" w:cs="Arial"/>
                <w:color w:val="auto"/>
                <w:kern w:val="0"/>
                <w:sz w:val="24"/>
                <w:szCs w:val="24"/>
                <w:highlight w:val="none"/>
                <w:lang w:val="en-US" w:eastAsia="zh-CN"/>
              </w:rPr>
              <w:t>15个工位、医用大尺寸综合会诊平台（≥86寸）1套等要求</w:t>
            </w:r>
            <w:r>
              <w:rPr>
                <w:rFonts w:hint="eastAsia" w:ascii="宋体" w:hAnsi="宋体" w:eastAsia="宋体" w:cs="Arial"/>
                <w:color w:val="auto"/>
                <w:kern w:val="0"/>
                <w:sz w:val="24"/>
                <w:szCs w:val="24"/>
                <w:highlight w:val="none"/>
                <w:lang w:eastAsia="zh-CN"/>
              </w:rPr>
              <w:t>）</w:t>
            </w:r>
            <w:r>
              <w:rPr>
                <w:rFonts w:hint="eastAsia" w:ascii="宋体" w:hAnsi="宋体" w:eastAsia="宋体" w:cs="Arial"/>
                <w:color w:val="auto"/>
                <w:kern w:val="0"/>
                <w:sz w:val="24"/>
                <w:szCs w:val="24"/>
                <w:highlight w:val="none"/>
              </w:rPr>
              <w:t>。（5）机房防护工程以及预控环评</w:t>
            </w:r>
            <w:r>
              <w:rPr>
                <w:rFonts w:hint="eastAsia" w:ascii="宋体" w:hAnsi="宋体" w:eastAsia="宋体" w:cs="Arial"/>
                <w:color w:val="auto"/>
                <w:kern w:val="0"/>
                <w:sz w:val="24"/>
                <w:szCs w:val="24"/>
                <w:highlight w:val="none"/>
                <w:lang w:eastAsia="zh-CN"/>
              </w:rPr>
              <w:t>，</w:t>
            </w:r>
            <w:r>
              <w:rPr>
                <w:rFonts w:hint="eastAsia" w:ascii="宋体" w:hAnsi="宋体" w:eastAsia="宋体" w:cs="Arial"/>
                <w:color w:val="auto"/>
                <w:kern w:val="0"/>
                <w:sz w:val="24"/>
                <w:szCs w:val="24"/>
                <w:highlight w:val="none"/>
              </w:rPr>
              <w:t>影像设备移机，以及机房辐射建设。</w:t>
            </w:r>
          </w:p>
          <w:p w14:paraId="021EF666">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（6）配套设备：除颤监护仪1台</w:t>
            </w:r>
            <w:r>
              <w:rPr>
                <w:rFonts w:hint="eastAsia" w:ascii="宋体" w:hAnsi="宋体" w:eastAsia="宋体" w:cs="Arial"/>
                <w:color w:val="auto"/>
                <w:kern w:val="0"/>
                <w:sz w:val="24"/>
                <w:szCs w:val="24"/>
                <w:highlight w:val="none"/>
                <w:lang w:eastAsia="zh-CN"/>
              </w:rPr>
              <w:t>、</w:t>
            </w:r>
            <w:r>
              <w:rPr>
                <w:rFonts w:hint="eastAsia" w:ascii="宋体" w:hAnsi="宋体" w:eastAsia="宋体" w:cs="Arial"/>
                <w:color w:val="auto"/>
                <w:kern w:val="0"/>
                <w:sz w:val="24"/>
                <w:szCs w:val="24"/>
                <w:highlight w:val="none"/>
              </w:rPr>
              <w:t>医用保温仪1台</w:t>
            </w:r>
            <w:r>
              <w:rPr>
                <w:rFonts w:hint="eastAsia" w:ascii="宋体" w:hAnsi="宋体" w:eastAsia="宋体" w:cs="Arial"/>
                <w:color w:val="auto"/>
                <w:kern w:val="0"/>
                <w:sz w:val="24"/>
                <w:szCs w:val="24"/>
                <w:highlight w:val="none"/>
                <w:lang w:eastAsia="zh-CN"/>
              </w:rPr>
              <w:t>、</w:t>
            </w:r>
            <w:r>
              <w:rPr>
                <w:rFonts w:hint="eastAsia" w:ascii="宋体" w:hAnsi="宋体" w:eastAsia="宋体" w:cs="Arial"/>
                <w:color w:val="auto"/>
                <w:kern w:val="0"/>
                <w:sz w:val="24"/>
                <w:szCs w:val="24"/>
                <w:highlight w:val="none"/>
              </w:rPr>
              <w:t>麻醉机1台</w:t>
            </w:r>
            <w:r>
              <w:rPr>
                <w:rFonts w:hint="eastAsia" w:ascii="宋体" w:hAnsi="宋体" w:eastAsia="宋体" w:cs="Arial"/>
                <w:color w:val="auto"/>
                <w:kern w:val="0"/>
                <w:sz w:val="24"/>
                <w:szCs w:val="24"/>
                <w:highlight w:val="none"/>
                <w:lang w:eastAsia="zh-CN"/>
              </w:rPr>
              <w:t>、</w:t>
            </w:r>
            <w:r>
              <w:rPr>
                <w:rFonts w:hint="eastAsia" w:ascii="宋体" w:hAnsi="宋体" w:eastAsia="宋体" w:cs="Arial"/>
                <w:color w:val="auto"/>
                <w:kern w:val="0"/>
                <w:sz w:val="24"/>
                <w:szCs w:val="24"/>
                <w:highlight w:val="none"/>
              </w:rPr>
              <w:t>转运呼吸机1台</w:t>
            </w:r>
            <w:r>
              <w:rPr>
                <w:rFonts w:hint="eastAsia" w:ascii="宋体" w:hAnsi="宋体" w:eastAsia="宋体" w:cs="Arial"/>
                <w:color w:val="auto"/>
                <w:kern w:val="0"/>
                <w:sz w:val="24"/>
                <w:szCs w:val="24"/>
                <w:highlight w:val="none"/>
                <w:lang w:eastAsia="zh-CN"/>
              </w:rPr>
              <w:t>，</w:t>
            </w:r>
            <w:r>
              <w:rPr>
                <w:rFonts w:hint="eastAsia" w:ascii="宋体" w:hAnsi="宋体" w:eastAsia="宋体" w:cs="Arial"/>
                <w:color w:val="auto"/>
                <w:kern w:val="0"/>
                <w:sz w:val="24"/>
                <w:szCs w:val="24"/>
                <w:highlight w:val="none"/>
              </w:rPr>
              <w:t>满足医院实际需求。</w:t>
            </w:r>
          </w:p>
        </w:tc>
        <w:tc>
          <w:tcPr>
            <w:tcW w:w="414" w:type="pct"/>
            <w:tcBorders>
              <w:top w:val="single" w:color="auto" w:sz="4" w:space="0"/>
              <w:left w:val="nil"/>
              <w:bottom w:val="single" w:color="auto" w:sz="4" w:space="0"/>
              <w:right w:val="single" w:color="auto" w:sz="4" w:space="0"/>
            </w:tcBorders>
            <w:shd w:val="clear" w:color="auto" w:fill="FFFFFF"/>
            <w:vAlign w:val="center"/>
          </w:tcPr>
          <w:p w14:paraId="78DF4672">
            <w:pPr>
              <w:tabs>
                <w:tab w:val="left" w:pos="900"/>
              </w:tabs>
              <w:jc w:val="center"/>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套</w:t>
            </w:r>
          </w:p>
        </w:tc>
        <w:tc>
          <w:tcPr>
            <w:tcW w:w="454" w:type="pct"/>
            <w:tcBorders>
              <w:top w:val="single" w:color="auto" w:sz="4" w:space="0"/>
              <w:left w:val="nil"/>
              <w:bottom w:val="single" w:color="auto" w:sz="4" w:space="0"/>
              <w:right w:val="single" w:color="auto" w:sz="4" w:space="0"/>
            </w:tcBorders>
            <w:shd w:val="clear" w:color="auto" w:fill="FFFFFF"/>
            <w:vAlign w:val="center"/>
          </w:tcPr>
          <w:p w14:paraId="289E87BE">
            <w:pPr>
              <w:tabs>
                <w:tab w:val="left" w:pos="900"/>
              </w:tabs>
              <w:jc w:val="center"/>
              <w:textAlignment w:val="center"/>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w:t>
            </w:r>
          </w:p>
        </w:tc>
        <w:tc>
          <w:tcPr>
            <w:tcW w:w="618" w:type="pct"/>
            <w:tcBorders>
              <w:top w:val="single" w:color="auto" w:sz="4" w:space="0"/>
              <w:left w:val="nil"/>
              <w:bottom w:val="single" w:color="auto" w:sz="4" w:space="0"/>
              <w:right w:val="single" w:color="auto" w:sz="4" w:space="0"/>
            </w:tcBorders>
            <w:shd w:val="clear" w:color="auto" w:fill="FFFFFF"/>
            <w:vAlign w:val="center"/>
          </w:tcPr>
          <w:p w14:paraId="64CA4609">
            <w:pPr>
              <w:tabs>
                <w:tab w:val="left" w:pos="900"/>
              </w:tabs>
              <w:jc w:val="center"/>
              <w:textAlignment w:val="center"/>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是</w:t>
            </w:r>
          </w:p>
        </w:tc>
      </w:tr>
    </w:tbl>
    <w:p w14:paraId="37739A54">
      <w:pPr>
        <w:keepNext w:val="0"/>
        <w:keepLines w:val="0"/>
        <w:pageBreakBefore/>
        <w:widowControl w:val="0"/>
        <w:kinsoku/>
        <w:wordWrap/>
        <w:overflowPunct/>
        <w:topLinePunct w:val="0"/>
        <w:autoSpaceDE/>
        <w:autoSpaceDN/>
        <w:bidi w:val="0"/>
        <w:adjustRightInd/>
        <w:snapToGrid/>
        <w:spacing w:line="360" w:lineRule="auto"/>
        <w:ind w:firstLine="437"/>
        <w:textAlignment w:val="auto"/>
        <w:outlineLvl w:val="2"/>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02包：</w:t>
      </w:r>
    </w:p>
    <w:tbl>
      <w:tblPr>
        <w:tblStyle w:val="2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5"/>
        <w:gridCol w:w="1442"/>
        <w:gridCol w:w="3882"/>
        <w:gridCol w:w="774"/>
        <w:gridCol w:w="774"/>
        <w:gridCol w:w="1055"/>
      </w:tblGrid>
      <w:tr w14:paraId="2D182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9" w:type="pct"/>
            <w:tcBorders>
              <w:top w:val="single" w:color="auto" w:sz="4" w:space="0"/>
              <w:left w:val="single" w:color="auto" w:sz="4" w:space="0"/>
              <w:bottom w:val="single" w:color="auto" w:sz="4" w:space="0"/>
              <w:right w:val="single" w:color="auto" w:sz="4" w:space="0"/>
            </w:tcBorders>
            <w:shd w:val="clear" w:color="auto" w:fill="FFFFFF"/>
            <w:vAlign w:val="center"/>
          </w:tcPr>
          <w:p w14:paraId="68F46BCB">
            <w:pPr>
              <w:widowControl/>
              <w:tabs>
                <w:tab w:val="left" w:pos="420"/>
                <w:tab w:val="left" w:pos="900"/>
              </w:tabs>
              <w:jc w:val="center"/>
              <w:rPr>
                <w:rFonts w:hint="eastAsia" w:ascii="宋体" w:hAnsi="宋体" w:eastAsia="宋体" w:cs="Arial"/>
                <w:b/>
                <w:bCs/>
                <w:color w:val="auto"/>
                <w:kern w:val="0"/>
                <w:sz w:val="24"/>
                <w:szCs w:val="24"/>
                <w:highlight w:val="none"/>
              </w:rPr>
            </w:pPr>
            <w:r>
              <w:rPr>
                <w:rFonts w:hint="eastAsia" w:ascii="宋体" w:hAnsi="宋体" w:eastAsia="宋体" w:cs="Arial"/>
                <w:b/>
                <w:bCs/>
                <w:color w:val="auto"/>
                <w:kern w:val="0"/>
                <w:sz w:val="24"/>
                <w:szCs w:val="24"/>
                <w:highlight w:val="none"/>
              </w:rPr>
              <w:t>序号</w:t>
            </w:r>
          </w:p>
        </w:tc>
        <w:tc>
          <w:tcPr>
            <w:tcW w:w="846" w:type="pct"/>
            <w:tcBorders>
              <w:top w:val="single" w:color="auto" w:sz="4" w:space="0"/>
              <w:left w:val="nil"/>
              <w:bottom w:val="single" w:color="auto" w:sz="4" w:space="0"/>
              <w:right w:val="single" w:color="auto" w:sz="4" w:space="0"/>
            </w:tcBorders>
            <w:shd w:val="clear" w:color="auto" w:fill="FFFFFF"/>
            <w:vAlign w:val="center"/>
          </w:tcPr>
          <w:p w14:paraId="03D83E70">
            <w:pPr>
              <w:widowControl/>
              <w:tabs>
                <w:tab w:val="left" w:pos="420"/>
                <w:tab w:val="left" w:pos="900"/>
              </w:tabs>
              <w:jc w:val="center"/>
              <w:rPr>
                <w:rFonts w:hint="eastAsia" w:ascii="宋体" w:hAnsi="宋体" w:eastAsia="宋体" w:cs="Arial"/>
                <w:b/>
                <w:bCs/>
                <w:color w:val="auto"/>
                <w:kern w:val="0"/>
                <w:sz w:val="24"/>
                <w:szCs w:val="24"/>
                <w:highlight w:val="none"/>
              </w:rPr>
            </w:pPr>
            <w:r>
              <w:rPr>
                <w:rFonts w:hint="eastAsia" w:ascii="宋体" w:hAnsi="宋体" w:eastAsia="宋体" w:cs="Arial"/>
                <w:b/>
                <w:bCs/>
                <w:color w:val="auto"/>
                <w:kern w:val="0"/>
                <w:sz w:val="24"/>
                <w:szCs w:val="24"/>
                <w:highlight w:val="none"/>
              </w:rPr>
              <w:t>货物名称</w:t>
            </w:r>
          </w:p>
        </w:tc>
        <w:tc>
          <w:tcPr>
            <w:tcW w:w="2277" w:type="pct"/>
            <w:tcBorders>
              <w:top w:val="single" w:color="auto" w:sz="4" w:space="0"/>
              <w:left w:val="nil"/>
              <w:bottom w:val="single" w:color="auto" w:sz="4" w:space="0"/>
              <w:right w:val="single" w:color="auto" w:sz="4" w:space="0"/>
            </w:tcBorders>
            <w:shd w:val="clear" w:color="auto" w:fill="FFFFFF"/>
            <w:vAlign w:val="center"/>
          </w:tcPr>
          <w:p w14:paraId="19E0138D">
            <w:pPr>
              <w:widowControl/>
              <w:tabs>
                <w:tab w:val="left" w:pos="420"/>
                <w:tab w:val="left" w:pos="900"/>
              </w:tabs>
              <w:jc w:val="center"/>
              <w:rPr>
                <w:rFonts w:hint="eastAsia" w:ascii="宋体" w:hAnsi="宋体" w:eastAsia="宋体" w:cs="Arial"/>
                <w:b/>
                <w:bCs/>
                <w:color w:val="auto"/>
                <w:kern w:val="0"/>
                <w:sz w:val="24"/>
                <w:szCs w:val="24"/>
                <w:highlight w:val="none"/>
              </w:rPr>
            </w:pPr>
            <w:r>
              <w:rPr>
                <w:rFonts w:hint="eastAsia" w:ascii="宋体" w:hAnsi="宋体" w:eastAsia="宋体" w:cs="Arial"/>
                <w:b/>
                <w:bCs/>
                <w:color w:val="auto"/>
                <w:kern w:val="0"/>
                <w:sz w:val="24"/>
                <w:szCs w:val="24"/>
                <w:highlight w:val="none"/>
              </w:rPr>
              <w:t>技术参数及要求</w:t>
            </w:r>
          </w:p>
        </w:tc>
        <w:tc>
          <w:tcPr>
            <w:tcW w:w="454" w:type="pct"/>
            <w:tcBorders>
              <w:top w:val="single" w:color="auto" w:sz="4" w:space="0"/>
              <w:left w:val="nil"/>
              <w:bottom w:val="single" w:color="auto" w:sz="4" w:space="0"/>
              <w:right w:val="single" w:color="auto" w:sz="4" w:space="0"/>
            </w:tcBorders>
            <w:shd w:val="clear" w:color="auto" w:fill="FFFFFF"/>
            <w:vAlign w:val="center"/>
          </w:tcPr>
          <w:p w14:paraId="445AB8ED">
            <w:pPr>
              <w:widowControl/>
              <w:tabs>
                <w:tab w:val="left" w:pos="420"/>
                <w:tab w:val="left" w:pos="900"/>
              </w:tabs>
              <w:jc w:val="center"/>
              <w:rPr>
                <w:rFonts w:hint="eastAsia" w:ascii="宋体" w:hAnsi="宋体" w:eastAsia="宋体" w:cs="Arial"/>
                <w:b/>
                <w:bCs/>
                <w:color w:val="auto"/>
                <w:kern w:val="0"/>
                <w:sz w:val="24"/>
                <w:szCs w:val="24"/>
                <w:highlight w:val="none"/>
              </w:rPr>
            </w:pPr>
            <w:r>
              <w:rPr>
                <w:rFonts w:hint="eastAsia" w:ascii="宋体" w:hAnsi="宋体" w:eastAsia="宋体" w:cs="Arial"/>
                <w:b/>
                <w:bCs/>
                <w:color w:val="auto"/>
                <w:kern w:val="0"/>
                <w:sz w:val="24"/>
                <w:szCs w:val="24"/>
                <w:highlight w:val="none"/>
              </w:rPr>
              <w:t>单位</w:t>
            </w:r>
          </w:p>
        </w:tc>
        <w:tc>
          <w:tcPr>
            <w:tcW w:w="454" w:type="pct"/>
            <w:tcBorders>
              <w:top w:val="single" w:color="auto" w:sz="4" w:space="0"/>
              <w:left w:val="nil"/>
              <w:bottom w:val="single" w:color="auto" w:sz="4" w:space="0"/>
              <w:right w:val="single" w:color="auto" w:sz="4" w:space="0"/>
            </w:tcBorders>
            <w:shd w:val="clear" w:color="auto" w:fill="FFFFFF"/>
            <w:vAlign w:val="center"/>
          </w:tcPr>
          <w:p w14:paraId="6775387B">
            <w:pPr>
              <w:widowControl/>
              <w:tabs>
                <w:tab w:val="left" w:pos="420"/>
                <w:tab w:val="left" w:pos="900"/>
              </w:tabs>
              <w:jc w:val="center"/>
              <w:rPr>
                <w:rFonts w:hint="eastAsia" w:ascii="宋体" w:hAnsi="宋体" w:eastAsia="宋体" w:cs="Arial"/>
                <w:b/>
                <w:bCs/>
                <w:color w:val="auto"/>
                <w:kern w:val="0"/>
                <w:sz w:val="24"/>
                <w:szCs w:val="24"/>
                <w:highlight w:val="none"/>
              </w:rPr>
            </w:pPr>
            <w:r>
              <w:rPr>
                <w:rFonts w:hint="eastAsia" w:ascii="宋体" w:hAnsi="宋体" w:eastAsia="宋体" w:cs="Arial"/>
                <w:b/>
                <w:bCs/>
                <w:color w:val="auto"/>
                <w:kern w:val="0"/>
                <w:sz w:val="24"/>
                <w:szCs w:val="24"/>
                <w:highlight w:val="none"/>
              </w:rPr>
              <w:t>采购数量</w:t>
            </w:r>
          </w:p>
        </w:tc>
        <w:tc>
          <w:tcPr>
            <w:tcW w:w="618" w:type="pct"/>
            <w:tcBorders>
              <w:top w:val="single" w:color="auto" w:sz="4" w:space="0"/>
              <w:left w:val="nil"/>
              <w:bottom w:val="single" w:color="auto" w:sz="4" w:space="0"/>
              <w:right w:val="single" w:color="auto" w:sz="4" w:space="0"/>
            </w:tcBorders>
            <w:shd w:val="clear" w:color="auto" w:fill="FFFFFF"/>
            <w:vAlign w:val="center"/>
          </w:tcPr>
          <w:p w14:paraId="1704C577">
            <w:pPr>
              <w:widowControl/>
              <w:tabs>
                <w:tab w:val="left" w:pos="420"/>
                <w:tab w:val="left" w:pos="900"/>
              </w:tabs>
              <w:jc w:val="center"/>
              <w:rPr>
                <w:rFonts w:hint="eastAsia" w:ascii="宋体" w:hAnsi="宋体" w:eastAsia="宋体" w:cs="Arial"/>
                <w:b/>
                <w:bCs/>
                <w:color w:val="auto"/>
                <w:kern w:val="0"/>
                <w:sz w:val="24"/>
                <w:szCs w:val="24"/>
                <w:highlight w:val="none"/>
              </w:rPr>
            </w:pPr>
            <w:r>
              <w:rPr>
                <w:rFonts w:hint="eastAsia" w:ascii="宋体" w:hAnsi="宋体" w:eastAsia="宋体" w:cs="Arial"/>
                <w:b/>
                <w:bCs/>
                <w:color w:val="auto"/>
                <w:kern w:val="0"/>
                <w:sz w:val="24"/>
                <w:szCs w:val="24"/>
                <w:highlight w:val="none"/>
              </w:rPr>
              <w:t>是否为核心产品</w:t>
            </w:r>
          </w:p>
        </w:tc>
      </w:tr>
      <w:tr w14:paraId="3127B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9" w:type="pct"/>
            <w:tcBorders>
              <w:top w:val="single" w:color="auto" w:sz="4" w:space="0"/>
              <w:left w:val="single" w:color="auto" w:sz="4" w:space="0"/>
              <w:bottom w:val="single" w:color="auto" w:sz="4" w:space="0"/>
              <w:right w:val="single" w:color="auto" w:sz="4" w:space="0"/>
            </w:tcBorders>
            <w:shd w:val="clear" w:color="auto" w:fill="FFFFFF"/>
            <w:vAlign w:val="center"/>
          </w:tcPr>
          <w:p w14:paraId="128D702F">
            <w:pPr>
              <w:widowControl/>
              <w:tabs>
                <w:tab w:val="left" w:pos="420"/>
                <w:tab w:val="left" w:pos="900"/>
              </w:tabs>
              <w:jc w:val="center"/>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w:t>
            </w:r>
          </w:p>
        </w:tc>
        <w:tc>
          <w:tcPr>
            <w:tcW w:w="846" w:type="pct"/>
            <w:tcBorders>
              <w:top w:val="single" w:color="auto" w:sz="4" w:space="0"/>
              <w:left w:val="nil"/>
              <w:bottom w:val="single" w:color="auto" w:sz="4" w:space="0"/>
              <w:right w:val="single" w:color="auto" w:sz="4" w:space="0"/>
            </w:tcBorders>
            <w:shd w:val="clear" w:color="auto" w:fill="FFFFFF"/>
            <w:vAlign w:val="center"/>
          </w:tcPr>
          <w:p w14:paraId="5715822E">
            <w:pPr>
              <w:widowControl/>
              <w:tabs>
                <w:tab w:val="left" w:pos="900"/>
              </w:tabs>
              <w:jc w:val="center"/>
              <w:textAlignment w:val="center"/>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3.0T磁共振成像系统</w:t>
            </w:r>
          </w:p>
        </w:tc>
        <w:tc>
          <w:tcPr>
            <w:tcW w:w="2277" w:type="pct"/>
            <w:tcBorders>
              <w:top w:val="single" w:color="auto" w:sz="4" w:space="0"/>
              <w:left w:val="nil"/>
              <w:bottom w:val="single" w:color="auto" w:sz="4" w:space="0"/>
              <w:right w:val="single" w:color="auto" w:sz="4" w:space="0"/>
            </w:tcBorders>
            <w:shd w:val="clear" w:color="auto" w:fill="FFFFFF"/>
            <w:vAlign w:val="center"/>
          </w:tcPr>
          <w:p w14:paraId="2300B30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★一</w:t>
            </w:r>
            <w:r>
              <w:rPr>
                <w:rFonts w:hint="eastAsia" w:ascii="宋体" w:hAnsi="宋体" w:eastAsia="宋体" w:cs="Arial"/>
                <w:color w:val="auto"/>
                <w:kern w:val="0"/>
                <w:sz w:val="24"/>
                <w:szCs w:val="24"/>
                <w:highlight w:val="none"/>
                <w:lang w:eastAsia="zh-CN"/>
              </w:rPr>
              <w:t>、</w:t>
            </w:r>
            <w:r>
              <w:rPr>
                <w:rFonts w:hint="eastAsia" w:ascii="宋体" w:hAnsi="宋体" w:eastAsia="宋体" w:cs="Arial"/>
                <w:color w:val="auto"/>
                <w:kern w:val="0"/>
                <w:sz w:val="24"/>
                <w:szCs w:val="24"/>
                <w:highlight w:val="none"/>
              </w:rPr>
              <w:t>技术平台先进性</w:t>
            </w:r>
          </w:p>
          <w:p w14:paraId="2426BFF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为保证技术先进性和前沿技术平台，各家须要具备Premier MAX、Vida、MR 7700、Ultra或者其他品牌具备同等级别或以上平台设备,所投机型在NMPA/CFDA首次注册时间为2019年1月1日之后。</w:t>
            </w:r>
          </w:p>
          <w:p w14:paraId="76935D4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二、技术要求</w:t>
            </w:r>
          </w:p>
          <w:p w14:paraId="06C4864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w:t>
            </w:r>
            <w:r>
              <w:rPr>
                <w:rFonts w:hint="eastAsia" w:ascii="宋体" w:hAnsi="宋体" w:eastAsia="宋体" w:cs="Arial"/>
                <w:color w:val="auto"/>
                <w:kern w:val="0"/>
                <w:sz w:val="24"/>
                <w:szCs w:val="24"/>
                <w:highlight w:val="none"/>
                <w:lang w:val="en-US" w:eastAsia="zh-CN"/>
              </w:rPr>
              <w:t>.</w:t>
            </w:r>
            <w:r>
              <w:rPr>
                <w:rFonts w:hint="eastAsia" w:ascii="宋体" w:hAnsi="宋体" w:eastAsia="宋体" w:cs="Arial"/>
                <w:color w:val="auto"/>
                <w:kern w:val="0"/>
                <w:sz w:val="24"/>
                <w:szCs w:val="24"/>
                <w:highlight w:val="none"/>
              </w:rPr>
              <w:t>磁体</w:t>
            </w:r>
          </w:p>
          <w:p w14:paraId="1461FDC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★1.1磁场强度：3.0T</w:t>
            </w:r>
          </w:p>
          <w:p w14:paraId="352047C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1.2磁场类型：超导磁体</w:t>
            </w:r>
          </w:p>
          <w:p w14:paraId="5B83EB9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1.3屏蔽方式：主动屏蔽＋抗外界干扰屏蔽</w:t>
            </w:r>
          </w:p>
          <w:p w14:paraId="4E0D9A6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1.4匀场方式：主动匀场＋被动匀场＋动态匀场</w:t>
            </w:r>
          </w:p>
          <w:p w14:paraId="0D056DF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1.5超导匀场或高级高序匀场</w:t>
            </w:r>
          </w:p>
          <w:p w14:paraId="2C99867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1.6病人个性化匀场</w:t>
            </w:r>
          </w:p>
          <w:p w14:paraId="1AE8C51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1.7匀场通道≥8</w:t>
            </w:r>
          </w:p>
          <w:p w14:paraId="5943929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1.7.1线性通道（一阶）≥3</w:t>
            </w:r>
          </w:p>
          <w:p w14:paraId="3FE4AFD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1.7.2非线性通道（二阶）≥5</w:t>
            </w:r>
          </w:p>
          <w:p w14:paraId="10766EC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1.8自动匀场时间≤30秒</w:t>
            </w:r>
          </w:p>
          <w:p w14:paraId="1B4F810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1.9 磁体材料：3.0T专用磁体</w:t>
            </w:r>
          </w:p>
          <w:p w14:paraId="07F581C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▲1.10磁体长度（不含外壳）≥172cm</w:t>
            </w:r>
          </w:p>
          <w:p w14:paraId="4F80830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★1.11磁体内径（患者检查孔道内径）大小≥70cm</w:t>
            </w:r>
          </w:p>
          <w:p w14:paraId="5BAAE82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1.12磁体为两端开放式设计</w:t>
            </w:r>
          </w:p>
          <w:p w14:paraId="6D32422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▲1.13磁体重量（含液氦）≤5.5吨</w:t>
            </w:r>
          </w:p>
          <w:p w14:paraId="00E4302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1.14磁场稳定度≤0.1ppm/h</w:t>
            </w:r>
          </w:p>
          <w:p w14:paraId="67E5734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1.15磁场均匀度（V－RMS测量法，采用24平面，每平面20点测量标准；在关闭线性及非先行匀场条件下测量）（typical）</w:t>
            </w:r>
          </w:p>
          <w:p w14:paraId="34B571A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1.15.150cmDSV（Typical）≤2.3 ppm</w:t>
            </w:r>
          </w:p>
          <w:p w14:paraId="51B777D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1.15.240cmDSV（Typical）≤0.33 ppm</w:t>
            </w:r>
          </w:p>
          <w:p w14:paraId="36CE025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1.15.330cmDSV（Typical）≤0.1 ppm</w:t>
            </w:r>
          </w:p>
          <w:p w14:paraId="14C5BB7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1.15.420cmDSV（Typical）≤0.016 ppm</w:t>
            </w:r>
          </w:p>
          <w:p w14:paraId="061B093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▲1.15.510cmDSV（Typical）≤0.002 ppm</w:t>
            </w:r>
          </w:p>
          <w:p w14:paraId="736F85B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1.15.650cmDSV（guaranteed）≤3 ppm</w:t>
            </w:r>
          </w:p>
          <w:p w14:paraId="7936CB7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1.15.740cmDSV（guaranteed）≤0.45 ppm</w:t>
            </w:r>
          </w:p>
          <w:p w14:paraId="145DC4E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1.15.830cmDSV（guaranteed）≤0.15 ppm</w:t>
            </w:r>
          </w:p>
          <w:p w14:paraId="407FD80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1.15.920cmDSV（guaranteed）≤0.05 ppm</w:t>
            </w:r>
          </w:p>
          <w:p w14:paraId="0B0955A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1.15.1010cmDSV（guaranteed）≤0.005 ppm</w:t>
            </w:r>
          </w:p>
          <w:p w14:paraId="5999F51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1.16液氦消耗：零液氦消耗</w:t>
            </w:r>
          </w:p>
          <w:p w14:paraId="7F6F24C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1.175高斯线范围≤4.65*2.65m2</w:t>
            </w:r>
          </w:p>
          <w:p w14:paraId="53934B3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1.181 高斯线范围≤7.8*4.8m2</w:t>
            </w:r>
          </w:p>
          <w:p w14:paraId="45773E9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▲1.19磁体成像范围（不动床）≥55*55*50cm3</w:t>
            </w:r>
          </w:p>
          <w:p w14:paraId="09A69A4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▲1.20磁体液氦腔容量≤1820L</w:t>
            </w:r>
          </w:p>
          <w:p w14:paraId="122010A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w:t>
            </w:r>
            <w:r>
              <w:rPr>
                <w:rFonts w:hint="eastAsia" w:ascii="宋体" w:hAnsi="宋体" w:eastAsia="宋体" w:cs="Arial"/>
                <w:color w:val="auto"/>
                <w:kern w:val="0"/>
                <w:sz w:val="24"/>
                <w:szCs w:val="24"/>
                <w:highlight w:val="none"/>
                <w:lang w:val="en-US" w:eastAsia="zh-CN"/>
              </w:rPr>
              <w:t>.</w:t>
            </w:r>
            <w:r>
              <w:rPr>
                <w:rFonts w:hint="eastAsia" w:ascii="宋体" w:hAnsi="宋体" w:eastAsia="宋体" w:cs="Arial"/>
                <w:color w:val="auto"/>
                <w:kern w:val="0"/>
                <w:sz w:val="24"/>
                <w:szCs w:val="24"/>
                <w:highlight w:val="none"/>
              </w:rPr>
              <w:t>梯度系统</w:t>
            </w:r>
          </w:p>
          <w:p w14:paraId="27407AF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2.1单梯度系统（非双梯度放大器）：单梯度系统（非双梯度放大器）</w:t>
            </w:r>
          </w:p>
          <w:p w14:paraId="0D4F623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▲2.2梯度场强（非有效值）≥65mT/m</w:t>
            </w:r>
          </w:p>
          <w:p w14:paraId="7715B19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2.3梯度切换率（非有效值）≥200mT/m/ms</w:t>
            </w:r>
          </w:p>
          <w:p w14:paraId="6F45AB0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2.4在同一梯度扫描模式下，最大单轴梯度场强和最大单轴梯度切换率：在同一序列中可同时达到</w:t>
            </w:r>
          </w:p>
          <w:p w14:paraId="03C94CB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2.5工作周期：100%</w:t>
            </w:r>
          </w:p>
          <w:p w14:paraId="10A1E7D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2.6梯度控制系统：全数字实时发射接收</w:t>
            </w:r>
          </w:p>
          <w:p w14:paraId="6749C48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2.7梯度工作方式：非共振</w:t>
            </w:r>
          </w:p>
          <w:p w14:paraId="04DD345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2.8 梯度放大器冷却方式：水冷</w:t>
            </w:r>
          </w:p>
          <w:p w14:paraId="3ED3075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2.9最短爬升时间≤0.4ms</w:t>
            </w:r>
          </w:p>
          <w:p w14:paraId="7AB6EED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2.10梯度工程参数</w:t>
            </w:r>
          </w:p>
          <w:p w14:paraId="15517A5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▲2.10.1单轴梯度放大器最大输出电压（X、Y、Z各单轴，非叠加）≥2250V</w:t>
            </w:r>
          </w:p>
          <w:p w14:paraId="218B594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▲2.10.2单轴梯度放大器最大输出电流（X、Y、Z各单轴，非叠加）≥900A</w:t>
            </w:r>
          </w:p>
          <w:p w14:paraId="4701CDD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2.10.3单轴梯度放大器最大输出功率（X、Y、Z各单轴，非叠加）≥2MW</w:t>
            </w:r>
          </w:p>
          <w:p w14:paraId="30C1073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w:t>
            </w:r>
            <w:r>
              <w:rPr>
                <w:rFonts w:hint="eastAsia" w:ascii="宋体" w:hAnsi="宋体" w:eastAsia="宋体" w:cs="Arial"/>
                <w:color w:val="auto"/>
                <w:kern w:val="0"/>
                <w:sz w:val="24"/>
                <w:szCs w:val="24"/>
                <w:highlight w:val="none"/>
                <w:lang w:val="en-US" w:eastAsia="zh-CN"/>
              </w:rPr>
              <w:t>.</w:t>
            </w:r>
            <w:r>
              <w:rPr>
                <w:rFonts w:hint="eastAsia" w:ascii="宋体" w:hAnsi="宋体" w:eastAsia="宋体" w:cs="Arial"/>
                <w:color w:val="auto"/>
                <w:kern w:val="0"/>
                <w:sz w:val="24"/>
                <w:szCs w:val="24"/>
                <w:highlight w:val="none"/>
              </w:rPr>
              <w:t>检查环境</w:t>
            </w:r>
          </w:p>
          <w:p w14:paraId="6B2C3CE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3.1扫描床水平移位精度≤±0.5mm</w:t>
            </w:r>
          </w:p>
          <w:p w14:paraId="5EE370F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3.2运动时扫描床最大承受重量≥250kg</w:t>
            </w:r>
          </w:p>
          <w:p w14:paraId="3656FE3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3.3扫描床水平运动最大速度≥200mm/sec</w:t>
            </w:r>
          </w:p>
          <w:p w14:paraId="183B02F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3.4扫描范围≥205cm</w:t>
            </w:r>
          </w:p>
          <w:p w14:paraId="7BBC8C6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3.5扫描床自动步进</w:t>
            </w:r>
          </w:p>
          <w:p w14:paraId="0BBEB61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3.6足先进扫描模式</w:t>
            </w:r>
          </w:p>
          <w:p w14:paraId="7FC78C8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3.7扫描床紧急制动功能</w:t>
            </w:r>
          </w:p>
          <w:p w14:paraId="3AD45E9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3.8病人通道环境</w:t>
            </w:r>
          </w:p>
          <w:p w14:paraId="10FC35A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3.9病人通道环境配置：照明、通风、对讲通话、背景音乐、专用防磁耳机、呼叫等</w:t>
            </w:r>
          </w:p>
          <w:p w14:paraId="1B42B8C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3.10磁体液晶显示屏系统</w:t>
            </w:r>
          </w:p>
          <w:p w14:paraId="5C57445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▲3.11扫描床最低床位≤52cm</w:t>
            </w:r>
          </w:p>
          <w:p w14:paraId="36A1F01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w:t>
            </w:r>
            <w:r>
              <w:rPr>
                <w:rFonts w:hint="eastAsia" w:ascii="宋体" w:hAnsi="宋体" w:eastAsia="宋体" w:cs="Arial"/>
                <w:color w:val="auto"/>
                <w:kern w:val="0"/>
                <w:sz w:val="24"/>
                <w:szCs w:val="24"/>
                <w:highlight w:val="none"/>
                <w:lang w:val="en-US" w:eastAsia="zh-CN"/>
              </w:rPr>
              <w:t>.</w:t>
            </w:r>
            <w:r>
              <w:rPr>
                <w:rFonts w:hint="eastAsia" w:ascii="宋体" w:hAnsi="宋体" w:eastAsia="宋体" w:cs="Arial"/>
                <w:color w:val="auto"/>
                <w:kern w:val="0"/>
                <w:sz w:val="24"/>
                <w:szCs w:val="24"/>
                <w:highlight w:val="none"/>
              </w:rPr>
              <w:t>射频系统</w:t>
            </w:r>
          </w:p>
          <w:p w14:paraId="6CECDF7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4.1实时数字化射频能量监控</w:t>
            </w:r>
          </w:p>
          <w:p w14:paraId="0429FAD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▲4.2射频功率≥37KW</w:t>
            </w:r>
          </w:p>
          <w:p w14:paraId="530B6FF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4.3射频噪音水平≤0.5dB</w:t>
            </w:r>
          </w:p>
          <w:p w14:paraId="32D25B1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4.4所有线圈免调谐</w:t>
            </w:r>
          </w:p>
          <w:p w14:paraId="34AEC45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4.5发射带宽≥500KHZ</w:t>
            </w:r>
          </w:p>
          <w:p w14:paraId="62A2F67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4.6最大射频接收动态范围≥165dB</w:t>
            </w:r>
          </w:p>
          <w:p w14:paraId="52F8F92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4.7射频接收带宽≥1MHZ</w:t>
            </w:r>
          </w:p>
          <w:p w14:paraId="687E883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4.8射频幅度采样分辨率≤25ns</w:t>
            </w:r>
          </w:p>
          <w:p w14:paraId="3420FE0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4.9并行采集技术平台（SENSE或ASSET或IPAT）</w:t>
            </w:r>
          </w:p>
          <w:p w14:paraId="3AF73B6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4.10射频接收系统通道数≥140通道（必须填写具体通道数值）</w:t>
            </w:r>
          </w:p>
          <w:p w14:paraId="66EF69A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4.10.1单视野接收通道数≥64通道（必须填写具体通道数值）</w:t>
            </w:r>
          </w:p>
          <w:p w14:paraId="2B2FACD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▲4.11射频线圈：射频线圈:提供满足临床各部位使用下列配置线圈</w:t>
            </w:r>
          </w:p>
          <w:p w14:paraId="471D56F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4.11.1头/头颈联合矩阵线圈≥64通道（非组合）</w:t>
            </w:r>
          </w:p>
          <w:p w14:paraId="0C768EE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4.11.2脊柱矩阵线圈≥32通道</w:t>
            </w:r>
          </w:p>
          <w:p w14:paraId="2A02359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4.11.3体部矩阵线圈≥18通道</w:t>
            </w:r>
          </w:p>
          <w:p w14:paraId="4427BD5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4.11.4大通用柔性线圈≥18通道</w:t>
            </w:r>
          </w:p>
          <w:p w14:paraId="0C6018D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4.11.5小通用柔性线圈≥18通道</w:t>
            </w:r>
          </w:p>
          <w:p w14:paraId="4AB694E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▲4.12专用部位线圈</w:t>
            </w:r>
          </w:p>
          <w:p w14:paraId="3B531AF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4.12.1原厂膝关节线圈(非柔性专用线圈)≥18通道</w:t>
            </w:r>
          </w:p>
          <w:p w14:paraId="01A3391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4.12.2原厂肩关节专用线圈(非柔性专用线圈)≥16通道</w:t>
            </w:r>
          </w:p>
          <w:p w14:paraId="2DB65A0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4.12.3原厂乳腺专用线圈(非柔性专用线圈)≥18通道</w:t>
            </w:r>
          </w:p>
          <w:p w14:paraId="792FD62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▲4.13脊柱线圈物理长度≥110cm</w:t>
            </w:r>
          </w:p>
          <w:p w14:paraId="60E1747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4.14头颈联合线圈ADC模数转换器位置：磁体机壳内</w:t>
            </w:r>
          </w:p>
          <w:p w14:paraId="4040EF9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4.15体部线圈ADC模数转换器位置：磁体机壳内</w:t>
            </w:r>
          </w:p>
          <w:p w14:paraId="7493D32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4.16足先进扫描模式全脊柱线圈物理长度≥120cm</w:t>
            </w:r>
          </w:p>
          <w:p w14:paraId="5A01369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4.17头先进扫描模式全脊柱线圈物理长度≥120cm</w:t>
            </w:r>
          </w:p>
          <w:p w14:paraId="33E161C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▲4.18扫描床同时可连接的线圈数量≥5个</w:t>
            </w:r>
          </w:p>
          <w:p w14:paraId="093A203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★4.19扫描床线圈接口总数量≥5个</w:t>
            </w:r>
          </w:p>
          <w:p w14:paraId="0CADAC2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4.20接收线圈内置主动匀场硬件，实现B0匀场</w:t>
            </w:r>
          </w:p>
          <w:p w14:paraId="2D72E05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4.21接收线圈内置匀场系统可与其他匀场技术联合使用</w:t>
            </w:r>
          </w:p>
          <w:p w14:paraId="6052F55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4.22智能感知或类似技术</w:t>
            </w:r>
          </w:p>
          <w:p w14:paraId="7A96474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4.22.1脊柱线圈内置呼吸传感器</w:t>
            </w:r>
          </w:p>
          <w:p w14:paraId="3648FE1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4.22.2体部线圈内置心跳传感器</w:t>
            </w:r>
          </w:p>
          <w:p w14:paraId="1E8E266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4.22.3触摸屏具备人工智能人体模型，无需激光灯确定人体脏器位置</w:t>
            </w:r>
          </w:p>
          <w:p w14:paraId="7C184B2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w:t>
            </w:r>
            <w:r>
              <w:rPr>
                <w:rFonts w:hint="eastAsia" w:ascii="宋体" w:hAnsi="宋体" w:eastAsia="宋体" w:cs="Arial"/>
                <w:color w:val="auto"/>
                <w:kern w:val="0"/>
                <w:sz w:val="24"/>
                <w:szCs w:val="24"/>
                <w:highlight w:val="none"/>
                <w:lang w:val="en-US" w:eastAsia="zh-CN"/>
              </w:rPr>
              <w:t>.</w:t>
            </w:r>
            <w:r>
              <w:rPr>
                <w:rFonts w:hint="eastAsia" w:ascii="宋体" w:hAnsi="宋体" w:eastAsia="宋体" w:cs="Arial"/>
                <w:color w:val="auto"/>
                <w:kern w:val="0"/>
                <w:sz w:val="24"/>
                <w:szCs w:val="24"/>
                <w:highlight w:val="none"/>
              </w:rPr>
              <w:t>静音技术</w:t>
            </w:r>
          </w:p>
          <w:p w14:paraId="5E41E5A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5.1梯度系统硬件静音技术</w:t>
            </w:r>
          </w:p>
          <w:p w14:paraId="225B0B3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5.2梯度系统软件静音技术</w:t>
            </w:r>
          </w:p>
          <w:p w14:paraId="2920153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5.2.1全静音平台可用于T1对比</w:t>
            </w:r>
          </w:p>
          <w:p w14:paraId="316F297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5.2.2全静音平台可用于T2对比</w:t>
            </w:r>
          </w:p>
          <w:p w14:paraId="0C9A054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5.2.3全静音平台可用于Darkfluid对比</w:t>
            </w:r>
          </w:p>
          <w:p w14:paraId="635D238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5.2.4全静音平台可用于SWI对比</w:t>
            </w:r>
          </w:p>
          <w:p w14:paraId="1065F24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5.2.5全静音平台可用于TSE序列</w:t>
            </w:r>
          </w:p>
          <w:p w14:paraId="6B0F04D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5.2.6全静音平台可用于SE序列</w:t>
            </w:r>
          </w:p>
          <w:p w14:paraId="0EACB69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5.2.7全静音平台可用于GRE序列</w:t>
            </w:r>
          </w:p>
          <w:p w14:paraId="6E77B28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5.2.8全静音平台可用于DWI序列</w:t>
            </w:r>
          </w:p>
          <w:p w14:paraId="0899AC1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6</w:t>
            </w:r>
            <w:r>
              <w:rPr>
                <w:rFonts w:hint="eastAsia" w:ascii="宋体" w:hAnsi="宋体" w:eastAsia="宋体" w:cs="Arial"/>
                <w:color w:val="auto"/>
                <w:kern w:val="0"/>
                <w:sz w:val="24"/>
                <w:szCs w:val="24"/>
                <w:highlight w:val="none"/>
                <w:lang w:val="en-US" w:eastAsia="zh-CN"/>
              </w:rPr>
              <w:t>.</w:t>
            </w:r>
            <w:r>
              <w:rPr>
                <w:rFonts w:hint="eastAsia" w:ascii="宋体" w:hAnsi="宋体" w:eastAsia="宋体" w:cs="Arial"/>
                <w:color w:val="auto"/>
                <w:kern w:val="0"/>
                <w:sz w:val="24"/>
                <w:szCs w:val="24"/>
                <w:highlight w:val="none"/>
              </w:rPr>
              <w:t>主控计算机系统</w:t>
            </w:r>
          </w:p>
          <w:p w14:paraId="39E991D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6.1操作系统</w:t>
            </w:r>
          </w:p>
          <w:p w14:paraId="0660B5B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6.2主CPU主频≥3.2GHz</w:t>
            </w:r>
          </w:p>
          <w:p w14:paraId="2617898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6.3主内存≥16GB</w:t>
            </w:r>
          </w:p>
          <w:p w14:paraId="543D8BF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6.4图像存储硬盘容量≥480GB</w:t>
            </w:r>
          </w:p>
          <w:p w14:paraId="699A5B7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6.5最大重建矩阵≥1024×1024</w:t>
            </w:r>
          </w:p>
          <w:p w14:paraId="6EA302A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6.6重建速度（请附Data Sheet证明）≥13000幅/秒（2D傅立叶变换，256×256矩阵，100% FOV，100%数据重建）</w:t>
            </w:r>
          </w:p>
          <w:p w14:paraId="2BF6D25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6.7阵列处理器内存≥36GB</w:t>
            </w:r>
          </w:p>
          <w:p w14:paraId="0583910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6.8系统软件硬盘容量≥120GB</w:t>
            </w:r>
          </w:p>
          <w:p w14:paraId="64637FE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6.9同步扫描和创建功能：实时显示</w:t>
            </w:r>
          </w:p>
          <w:p w14:paraId="7BBD435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6.10 彩色液晶显示器≥23英寸，分辨率≥1920*1200</w:t>
            </w:r>
          </w:p>
          <w:p w14:paraId="3F1A24D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6.11实时MIP</w:t>
            </w:r>
          </w:p>
          <w:p w14:paraId="2198CFC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6.12实时MPR</w:t>
            </w:r>
          </w:p>
          <w:p w14:paraId="0AC9AA6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6.13三维表面重建技术SSD</w:t>
            </w:r>
          </w:p>
          <w:p w14:paraId="599D172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6.14自由感兴趣区MIP重建</w:t>
            </w:r>
          </w:p>
          <w:p w14:paraId="2E3A90E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6.15图像减影，电影回放</w:t>
            </w:r>
          </w:p>
          <w:p w14:paraId="11C7C3F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6.16实时互动多平面重建</w:t>
            </w:r>
          </w:p>
          <w:p w14:paraId="26352F4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6.17动态定量分析软件：t-test,ADC-map,T1,T2 值的计算,减影、叠加,时间信号曲线，时间峰值等</w:t>
            </w:r>
          </w:p>
          <w:p w14:paraId="091F336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6.18实时心电波形显示</w:t>
            </w:r>
          </w:p>
          <w:p w14:paraId="109612F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6.19实时呼吸、脉搏波形显示</w:t>
            </w:r>
          </w:p>
          <w:p w14:paraId="2A904E1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7</w:t>
            </w:r>
            <w:r>
              <w:rPr>
                <w:rFonts w:hint="eastAsia" w:ascii="宋体" w:hAnsi="宋体" w:eastAsia="宋体" w:cs="Arial"/>
                <w:color w:val="auto"/>
                <w:kern w:val="0"/>
                <w:sz w:val="24"/>
                <w:szCs w:val="24"/>
                <w:highlight w:val="none"/>
                <w:lang w:val="en-US" w:eastAsia="zh-CN"/>
              </w:rPr>
              <w:t>.</w:t>
            </w:r>
            <w:r>
              <w:rPr>
                <w:rFonts w:hint="eastAsia" w:ascii="宋体" w:hAnsi="宋体" w:eastAsia="宋体" w:cs="Arial"/>
                <w:color w:val="auto"/>
                <w:kern w:val="0"/>
                <w:sz w:val="24"/>
                <w:szCs w:val="24"/>
                <w:highlight w:val="none"/>
              </w:rPr>
              <w:t>后处理接口</w:t>
            </w:r>
          </w:p>
          <w:p w14:paraId="4D9FFB2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7.1软件控制照相技术</w:t>
            </w:r>
          </w:p>
          <w:p w14:paraId="259D715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7.2DICOM3.0接口与RIS/PACS多功能网络连接(包括打印、传输、接收、存储、查询、Worklist等功能)</w:t>
            </w:r>
          </w:p>
          <w:p w14:paraId="0DDC68D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7.3标准激光相机DICOM3.0数字接口</w:t>
            </w:r>
          </w:p>
          <w:p w14:paraId="2C656DD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7.4主机向PC机传输图像数据功能</w:t>
            </w:r>
          </w:p>
          <w:p w14:paraId="2B1B9CF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w:t>
            </w:r>
            <w:r>
              <w:rPr>
                <w:rFonts w:hint="eastAsia" w:ascii="宋体" w:hAnsi="宋体" w:eastAsia="宋体" w:cs="Arial"/>
                <w:color w:val="auto"/>
                <w:kern w:val="0"/>
                <w:sz w:val="24"/>
                <w:szCs w:val="24"/>
                <w:highlight w:val="none"/>
                <w:lang w:val="en-US" w:eastAsia="zh-CN"/>
              </w:rPr>
              <w:t>.</w:t>
            </w:r>
            <w:r>
              <w:rPr>
                <w:rFonts w:hint="eastAsia" w:ascii="宋体" w:hAnsi="宋体" w:eastAsia="宋体" w:cs="Arial"/>
                <w:color w:val="auto"/>
                <w:kern w:val="0"/>
                <w:sz w:val="24"/>
                <w:szCs w:val="24"/>
                <w:highlight w:val="none"/>
              </w:rPr>
              <w:t>扫描参数</w:t>
            </w:r>
          </w:p>
          <w:p w14:paraId="08B33F4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▲8.1.1最大FOV X轴≥550mm</w:t>
            </w:r>
          </w:p>
          <w:p w14:paraId="4712C5B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▲8.1.2最大FOV Y轴≥550mm</w:t>
            </w:r>
          </w:p>
          <w:p w14:paraId="6662567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8.1.3最大FOV Z轴≥500mm</w:t>
            </w:r>
          </w:p>
          <w:p w14:paraId="392944D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8.2最小FOV≤5mm</w:t>
            </w:r>
          </w:p>
          <w:p w14:paraId="4CD71CA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8.3二维最薄扫描层厚≤0.1mm</w:t>
            </w:r>
          </w:p>
          <w:p w14:paraId="2D64DF8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8.4三维最薄扫描层厚≤0.05mm</w:t>
            </w:r>
          </w:p>
          <w:p w14:paraId="44D68A1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8.5最大采集矩阵≥1024×1024</w:t>
            </w:r>
          </w:p>
          <w:p w14:paraId="24C0C57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8.6最大层面分辨率≤12µm</w:t>
            </w:r>
          </w:p>
          <w:p w14:paraId="32C5E06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8.7自旋回波最短TR时间（128矩阵）≤5ms</w:t>
            </w:r>
          </w:p>
          <w:p w14:paraId="342F48D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8.8自旋回波最短TE时间（128矩阵）≤1.5ms</w:t>
            </w:r>
          </w:p>
          <w:p w14:paraId="37BA44E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8.9</w:t>
            </w:r>
            <w:r>
              <w:rPr>
                <w:rFonts w:hint="eastAsia" w:ascii="宋体" w:hAnsi="宋体" w:eastAsia="宋体" w:cs="Arial"/>
                <w:color w:val="auto"/>
                <w:kern w:val="0"/>
                <w:sz w:val="24"/>
                <w:szCs w:val="24"/>
                <w:highlight w:val="none"/>
                <w:lang w:val="en-US" w:eastAsia="zh-CN"/>
              </w:rPr>
              <w:t xml:space="preserve"> </w:t>
            </w:r>
            <w:r>
              <w:rPr>
                <w:rFonts w:hint="eastAsia" w:ascii="宋体" w:hAnsi="宋体" w:eastAsia="宋体" w:cs="Arial"/>
                <w:color w:val="auto"/>
                <w:kern w:val="0"/>
                <w:sz w:val="24"/>
                <w:szCs w:val="24"/>
                <w:highlight w:val="none"/>
              </w:rPr>
              <w:t>EPI最短TR时间（64矩阵）≤10ms</w:t>
            </w:r>
          </w:p>
          <w:p w14:paraId="06567B6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8.10 EPI最短TE时间（64矩阵）≤2.1ms</w:t>
            </w:r>
          </w:p>
          <w:p w14:paraId="6A2CA00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8.11EPI最短TR时间（128矩阵）≤10ms</w:t>
            </w:r>
          </w:p>
          <w:p w14:paraId="50B94E5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8.12EPI最短TE时间（128矩阵）≤2.4ms</w:t>
            </w:r>
          </w:p>
          <w:p w14:paraId="52F7EB7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8.13EPI最短TR时间（256矩阵）≤10ms</w:t>
            </w:r>
          </w:p>
          <w:p w14:paraId="4BB28D6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8.14EPI最短TE时间（256矩阵）≤2.7ms</w:t>
            </w:r>
          </w:p>
          <w:p w14:paraId="272FC0D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8.153D GRE最短TR时间（256×256矩阵）≤1.1ms</w:t>
            </w:r>
          </w:p>
          <w:p w14:paraId="160AA15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8.163D GRE最短TE时间（256×256矩阵）≤0.5ms</w:t>
            </w:r>
          </w:p>
          <w:p w14:paraId="11D20F3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8.173D GRE最短TR时间（128×128矩阵）≤0.7ms</w:t>
            </w:r>
          </w:p>
          <w:p w14:paraId="0BC1CAE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8.183D GRE最短TE时间（128×128矩阵）≤0.3ms</w:t>
            </w:r>
          </w:p>
          <w:p w14:paraId="3F20416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8.19快速自旋回波最短TR（256×256矩阵）≤6ms</w:t>
            </w:r>
          </w:p>
          <w:p w14:paraId="03E2099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8.20 快速自旋回波最短TE（256×256矩阵）≤1.8ms</w:t>
            </w:r>
          </w:p>
          <w:p w14:paraId="31FBD84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8.21快速自旋回波最短TR（128×128矩阵）≤6ms</w:t>
            </w:r>
          </w:p>
          <w:p w14:paraId="0702489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8.22快速自旋回波最短TE（128×128矩阵）≤1.5ms</w:t>
            </w:r>
          </w:p>
          <w:p w14:paraId="73E4081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8.23EPI回波因子≥256</w:t>
            </w:r>
          </w:p>
          <w:p w14:paraId="39B83D4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8.24FSE最大回波链≥512</w:t>
            </w:r>
          </w:p>
          <w:p w14:paraId="60990EEE">
            <w:pPr>
              <w:widowControl/>
              <w:tabs>
                <w:tab w:val="left" w:pos="420"/>
                <w:tab w:val="left" w:pos="900"/>
              </w:tabs>
              <w:rPr>
                <w:rFonts w:hint="eastAsia" w:ascii="宋体" w:hAnsi="宋体" w:eastAsia="宋体" w:cs="Arial"/>
                <w:color w:val="auto"/>
                <w:kern w:val="0"/>
                <w:sz w:val="24"/>
                <w:szCs w:val="24"/>
                <w:highlight w:val="none"/>
                <w:lang w:eastAsia="zh-CN"/>
              </w:rPr>
            </w:pPr>
            <w:r>
              <w:rPr>
                <w:rFonts w:hint="eastAsia" w:ascii="宋体" w:hAnsi="宋体" w:eastAsia="宋体" w:cs="Arial"/>
                <w:color w:val="auto"/>
                <w:kern w:val="0"/>
                <w:sz w:val="24"/>
                <w:szCs w:val="24"/>
                <w:highlight w:val="none"/>
              </w:rPr>
              <w:t>8.25采集弥散加权系数B值≥10000s/</w:t>
            </w:r>
            <w:r>
              <w:rPr>
                <w:rFonts w:hint="eastAsia" w:ascii="宋体" w:hAnsi="宋体" w:eastAsia="宋体" w:cs="Arial"/>
                <w:color w:val="auto"/>
                <w:kern w:val="0"/>
                <w:sz w:val="24"/>
                <w:szCs w:val="24"/>
                <w:highlight w:val="none"/>
                <w:lang w:eastAsia="zh-CN"/>
              </w:rPr>
              <w:t>mm</w:t>
            </w:r>
            <w:r>
              <w:rPr>
                <w:rFonts w:hint="eastAsia" w:ascii="宋体" w:hAnsi="宋体" w:eastAsia="宋体" w:cs="Arial"/>
                <w:color w:val="auto"/>
                <w:kern w:val="0"/>
                <w:sz w:val="24"/>
                <w:szCs w:val="24"/>
                <w:highlight w:val="none"/>
                <w:vertAlign w:val="superscript"/>
                <w:lang w:eastAsia="zh-CN"/>
              </w:rPr>
              <w:t>2</w:t>
            </w:r>
          </w:p>
          <w:p w14:paraId="7D31520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8.26自动在线拟合高b值弥散图像技术（扫描两个b值，自动生成更高b值）</w:t>
            </w:r>
          </w:p>
          <w:p w14:paraId="374AC79D">
            <w:pPr>
              <w:widowControl/>
              <w:tabs>
                <w:tab w:val="left" w:pos="420"/>
                <w:tab w:val="left" w:pos="900"/>
              </w:tabs>
              <w:rPr>
                <w:rFonts w:hint="eastAsia" w:ascii="宋体" w:hAnsi="宋体" w:eastAsia="宋体" w:cs="Arial"/>
                <w:color w:val="auto"/>
                <w:kern w:val="0"/>
                <w:sz w:val="24"/>
                <w:szCs w:val="24"/>
                <w:highlight w:val="none"/>
                <w:lang w:eastAsia="zh-CN"/>
              </w:rPr>
            </w:pPr>
            <w:r>
              <w:rPr>
                <w:rFonts w:hint="eastAsia" w:ascii="宋体" w:hAnsi="宋体" w:eastAsia="宋体" w:cs="Arial"/>
                <w:color w:val="auto"/>
                <w:kern w:val="0"/>
                <w:sz w:val="24"/>
                <w:szCs w:val="24"/>
                <w:highlight w:val="none"/>
              </w:rPr>
              <w:t>8.26.1头部DWI扫描，可拟合的最高b值（非扫描b值）≥5000s/</w:t>
            </w:r>
            <w:r>
              <w:rPr>
                <w:rFonts w:hint="eastAsia" w:ascii="宋体" w:hAnsi="宋体" w:eastAsia="宋体" w:cs="Arial"/>
                <w:color w:val="auto"/>
                <w:kern w:val="0"/>
                <w:sz w:val="24"/>
                <w:szCs w:val="24"/>
                <w:highlight w:val="none"/>
                <w:lang w:eastAsia="zh-CN"/>
              </w:rPr>
              <w:t>mm</w:t>
            </w:r>
            <w:r>
              <w:rPr>
                <w:rFonts w:hint="eastAsia" w:ascii="宋体" w:hAnsi="宋体" w:eastAsia="宋体" w:cs="Arial"/>
                <w:color w:val="auto"/>
                <w:kern w:val="0"/>
                <w:sz w:val="24"/>
                <w:szCs w:val="24"/>
                <w:highlight w:val="none"/>
                <w:vertAlign w:val="superscript"/>
                <w:lang w:eastAsia="zh-CN"/>
              </w:rPr>
              <w:t>2</w:t>
            </w:r>
          </w:p>
          <w:p w14:paraId="11939B6E">
            <w:pPr>
              <w:widowControl/>
              <w:tabs>
                <w:tab w:val="left" w:pos="420"/>
                <w:tab w:val="left" w:pos="900"/>
              </w:tabs>
              <w:rPr>
                <w:rFonts w:hint="eastAsia" w:ascii="宋体" w:hAnsi="宋体" w:eastAsia="宋体" w:cs="Arial"/>
                <w:color w:val="auto"/>
                <w:kern w:val="0"/>
                <w:sz w:val="24"/>
                <w:szCs w:val="24"/>
                <w:highlight w:val="none"/>
                <w:lang w:eastAsia="zh-CN"/>
              </w:rPr>
            </w:pPr>
            <w:r>
              <w:rPr>
                <w:rFonts w:hint="eastAsia" w:ascii="宋体" w:hAnsi="宋体" w:eastAsia="宋体" w:cs="Arial"/>
                <w:color w:val="auto"/>
                <w:kern w:val="0"/>
                <w:sz w:val="24"/>
                <w:szCs w:val="24"/>
                <w:highlight w:val="none"/>
              </w:rPr>
              <w:t>8.26.2颈部DWI扫描，可拟合的最高b值（非扫描b值）≥5000s/</w:t>
            </w:r>
            <w:r>
              <w:rPr>
                <w:rFonts w:hint="eastAsia" w:ascii="宋体" w:hAnsi="宋体" w:eastAsia="宋体" w:cs="Arial"/>
                <w:color w:val="auto"/>
                <w:kern w:val="0"/>
                <w:sz w:val="24"/>
                <w:szCs w:val="24"/>
                <w:highlight w:val="none"/>
                <w:lang w:eastAsia="zh-CN"/>
              </w:rPr>
              <w:t>mm</w:t>
            </w:r>
            <w:r>
              <w:rPr>
                <w:rFonts w:hint="eastAsia" w:ascii="宋体" w:hAnsi="宋体" w:eastAsia="宋体" w:cs="Arial"/>
                <w:color w:val="auto"/>
                <w:kern w:val="0"/>
                <w:sz w:val="24"/>
                <w:szCs w:val="24"/>
                <w:highlight w:val="none"/>
                <w:vertAlign w:val="superscript"/>
                <w:lang w:eastAsia="zh-CN"/>
              </w:rPr>
              <w:t>2</w:t>
            </w:r>
          </w:p>
          <w:p w14:paraId="72BC35F0">
            <w:pPr>
              <w:widowControl/>
              <w:tabs>
                <w:tab w:val="left" w:pos="420"/>
                <w:tab w:val="left" w:pos="900"/>
              </w:tabs>
              <w:rPr>
                <w:rFonts w:hint="eastAsia" w:ascii="宋体" w:hAnsi="宋体" w:eastAsia="宋体" w:cs="Arial"/>
                <w:color w:val="auto"/>
                <w:kern w:val="0"/>
                <w:sz w:val="24"/>
                <w:szCs w:val="24"/>
                <w:highlight w:val="none"/>
                <w:lang w:eastAsia="zh-CN"/>
              </w:rPr>
            </w:pPr>
            <w:r>
              <w:rPr>
                <w:rFonts w:hint="eastAsia" w:ascii="宋体" w:hAnsi="宋体" w:eastAsia="宋体" w:cs="Arial"/>
                <w:color w:val="auto"/>
                <w:kern w:val="0"/>
                <w:sz w:val="24"/>
                <w:szCs w:val="24"/>
                <w:highlight w:val="none"/>
              </w:rPr>
              <w:t>8.26.3胸部DWI扫描，可拟合的最高b值（非扫描b值）≥5000s/</w:t>
            </w:r>
            <w:r>
              <w:rPr>
                <w:rFonts w:hint="eastAsia" w:ascii="宋体" w:hAnsi="宋体" w:eastAsia="宋体" w:cs="Arial"/>
                <w:color w:val="auto"/>
                <w:kern w:val="0"/>
                <w:sz w:val="24"/>
                <w:szCs w:val="24"/>
                <w:highlight w:val="none"/>
                <w:lang w:eastAsia="zh-CN"/>
              </w:rPr>
              <w:t>mm</w:t>
            </w:r>
            <w:r>
              <w:rPr>
                <w:rFonts w:hint="eastAsia" w:ascii="宋体" w:hAnsi="宋体" w:eastAsia="宋体" w:cs="Arial"/>
                <w:color w:val="auto"/>
                <w:kern w:val="0"/>
                <w:sz w:val="24"/>
                <w:szCs w:val="24"/>
                <w:highlight w:val="none"/>
                <w:vertAlign w:val="superscript"/>
                <w:lang w:eastAsia="zh-CN"/>
              </w:rPr>
              <w:t>2</w:t>
            </w:r>
          </w:p>
          <w:p w14:paraId="1E33B594">
            <w:pPr>
              <w:widowControl/>
              <w:tabs>
                <w:tab w:val="left" w:pos="420"/>
                <w:tab w:val="left" w:pos="900"/>
              </w:tabs>
              <w:rPr>
                <w:rFonts w:hint="eastAsia" w:ascii="宋体" w:hAnsi="宋体" w:eastAsia="宋体" w:cs="Arial"/>
                <w:color w:val="auto"/>
                <w:kern w:val="0"/>
                <w:sz w:val="24"/>
                <w:szCs w:val="24"/>
                <w:highlight w:val="none"/>
                <w:lang w:eastAsia="zh-CN"/>
              </w:rPr>
            </w:pPr>
            <w:r>
              <w:rPr>
                <w:rFonts w:hint="eastAsia" w:ascii="宋体" w:hAnsi="宋体" w:eastAsia="宋体" w:cs="Arial"/>
                <w:color w:val="auto"/>
                <w:kern w:val="0"/>
                <w:sz w:val="24"/>
                <w:szCs w:val="24"/>
                <w:highlight w:val="none"/>
              </w:rPr>
              <w:t>8.26.4腹部DWI扫描，可拟合的最高b值（非扫描b值）≥5000s/</w:t>
            </w:r>
            <w:r>
              <w:rPr>
                <w:rFonts w:hint="eastAsia" w:ascii="宋体" w:hAnsi="宋体" w:eastAsia="宋体" w:cs="Arial"/>
                <w:color w:val="auto"/>
                <w:kern w:val="0"/>
                <w:sz w:val="24"/>
                <w:szCs w:val="24"/>
                <w:highlight w:val="none"/>
                <w:lang w:eastAsia="zh-CN"/>
              </w:rPr>
              <w:t>mm</w:t>
            </w:r>
            <w:r>
              <w:rPr>
                <w:rFonts w:hint="eastAsia" w:ascii="宋体" w:hAnsi="宋体" w:eastAsia="宋体" w:cs="Arial"/>
                <w:color w:val="auto"/>
                <w:kern w:val="0"/>
                <w:sz w:val="24"/>
                <w:szCs w:val="24"/>
                <w:highlight w:val="none"/>
                <w:vertAlign w:val="superscript"/>
                <w:lang w:eastAsia="zh-CN"/>
              </w:rPr>
              <w:t>2</w:t>
            </w:r>
          </w:p>
          <w:p w14:paraId="6D354411">
            <w:pPr>
              <w:widowControl/>
              <w:tabs>
                <w:tab w:val="left" w:pos="420"/>
                <w:tab w:val="left" w:pos="900"/>
              </w:tabs>
              <w:rPr>
                <w:rFonts w:hint="eastAsia" w:ascii="宋体" w:hAnsi="宋体" w:eastAsia="宋体" w:cs="Arial"/>
                <w:color w:val="auto"/>
                <w:kern w:val="0"/>
                <w:sz w:val="24"/>
                <w:szCs w:val="24"/>
                <w:highlight w:val="none"/>
                <w:lang w:eastAsia="zh-CN"/>
              </w:rPr>
            </w:pPr>
            <w:r>
              <w:rPr>
                <w:rFonts w:hint="eastAsia" w:ascii="宋体" w:hAnsi="宋体" w:eastAsia="宋体" w:cs="Arial"/>
                <w:color w:val="auto"/>
                <w:kern w:val="0"/>
                <w:sz w:val="24"/>
                <w:szCs w:val="24"/>
                <w:highlight w:val="none"/>
              </w:rPr>
              <w:t>8.26.5男性盆腔DWI扫描，可拟合的最高b值（非扫描b值）≥5000s/</w:t>
            </w:r>
            <w:r>
              <w:rPr>
                <w:rFonts w:hint="eastAsia" w:ascii="宋体" w:hAnsi="宋体" w:eastAsia="宋体" w:cs="Arial"/>
                <w:color w:val="auto"/>
                <w:kern w:val="0"/>
                <w:sz w:val="24"/>
                <w:szCs w:val="24"/>
                <w:highlight w:val="none"/>
                <w:lang w:eastAsia="zh-CN"/>
              </w:rPr>
              <w:t>mm</w:t>
            </w:r>
            <w:r>
              <w:rPr>
                <w:rFonts w:hint="eastAsia" w:ascii="宋体" w:hAnsi="宋体" w:eastAsia="宋体" w:cs="Arial"/>
                <w:color w:val="auto"/>
                <w:kern w:val="0"/>
                <w:sz w:val="24"/>
                <w:szCs w:val="24"/>
                <w:highlight w:val="none"/>
                <w:vertAlign w:val="superscript"/>
                <w:lang w:eastAsia="zh-CN"/>
              </w:rPr>
              <w:t>2</w:t>
            </w:r>
          </w:p>
          <w:p w14:paraId="37DA2688">
            <w:pPr>
              <w:widowControl/>
              <w:tabs>
                <w:tab w:val="left" w:pos="420"/>
                <w:tab w:val="left" w:pos="900"/>
              </w:tabs>
              <w:rPr>
                <w:rFonts w:hint="eastAsia" w:ascii="宋体" w:hAnsi="宋体" w:eastAsia="宋体" w:cs="Arial"/>
                <w:color w:val="auto"/>
                <w:kern w:val="0"/>
                <w:sz w:val="24"/>
                <w:szCs w:val="24"/>
                <w:highlight w:val="none"/>
                <w:lang w:eastAsia="zh-CN"/>
              </w:rPr>
            </w:pPr>
            <w:r>
              <w:rPr>
                <w:rFonts w:hint="eastAsia" w:ascii="宋体" w:hAnsi="宋体" w:eastAsia="宋体" w:cs="Arial"/>
                <w:color w:val="auto"/>
                <w:kern w:val="0"/>
                <w:sz w:val="24"/>
                <w:szCs w:val="24"/>
                <w:highlight w:val="none"/>
              </w:rPr>
              <w:t>8.26.6女性盆腔DWI扫描，可拟合的最高b值（非扫描b值）≥5000s/</w:t>
            </w:r>
            <w:r>
              <w:rPr>
                <w:rFonts w:hint="eastAsia" w:ascii="宋体" w:hAnsi="宋体" w:eastAsia="宋体" w:cs="Arial"/>
                <w:color w:val="auto"/>
                <w:kern w:val="0"/>
                <w:sz w:val="24"/>
                <w:szCs w:val="24"/>
                <w:highlight w:val="none"/>
                <w:lang w:eastAsia="zh-CN"/>
              </w:rPr>
              <w:t>mm</w:t>
            </w:r>
            <w:r>
              <w:rPr>
                <w:rFonts w:hint="eastAsia" w:ascii="宋体" w:hAnsi="宋体" w:eastAsia="宋体" w:cs="Arial"/>
                <w:color w:val="auto"/>
                <w:kern w:val="0"/>
                <w:sz w:val="24"/>
                <w:szCs w:val="24"/>
                <w:highlight w:val="none"/>
                <w:vertAlign w:val="superscript"/>
                <w:lang w:eastAsia="zh-CN"/>
              </w:rPr>
              <w:t>2</w:t>
            </w:r>
          </w:p>
          <w:p w14:paraId="2847BD98">
            <w:pPr>
              <w:widowControl/>
              <w:tabs>
                <w:tab w:val="left" w:pos="420"/>
                <w:tab w:val="left" w:pos="900"/>
              </w:tabs>
              <w:rPr>
                <w:rFonts w:hint="eastAsia" w:ascii="宋体" w:hAnsi="宋体" w:eastAsia="宋体" w:cs="Arial"/>
                <w:color w:val="auto"/>
                <w:kern w:val="0"/>
                <w:sz w:val="24"/>
                <w:szCs w:val="24"/>
                <w:highlight w:val="none"/>
                <w:lang w:eastAsia="zh-CN"/>
              </w:rPr>
            </w:pPr>
            <w:r>
              <w:rPr>
                <w:rFonts w:hint="eastAsia" w:ascii="宋体" w:hAnsi="宋体" w:eastAsia="宋体" w:cs="Arial"/>
                <w:color w:val="auto"/>
                <w:kern w:val="0"/>
                <w:sz w:val="24"/>
                <w:szCs w:val="24"/>
                <w:highlight w:val="none"/>
              </w:rPr>
              <w:t>8.26.7脊柱DWI扫描，可拟合的最高b值（非扫描b值）≥5000s/</w:t>
            </w:r>
            <w:r>
              <w:rPr>
                <w:rFonts w:hint="eastAsia" w:ascii="宋体" w:hAnsi="宋体" w:eastAsia="宋体" w:cs="Arial"/>
                <w:color w:val="auto"/>
                <w:kern w:val="0"/>
                <w:sz w:val="24"/>
                <w:szCs w:val="24"/>
                <w:highlight w:val="none"/>
                <w:lang w:eastAsia="zh-CN"/>
              </w:rPr>
              <w:t>mm</w:t>
            </w:r>
            <w:r>
              <w:rPr>
                <w:rFonts w:hint="eastAsia" w:ascii="宋体" w:hAnsi="宋体" w:eastAsia="宋体" w:cs="Arial"/>
                <w:color w:val="auto"/>
                <w:kern w:val="0"/>
                <w:sz w:val="24"/>
                <w:szCs w:val="24"/>
                <w:highlight w:val="none"/>
                <w:vertAlign w:val="superscript"/>
                <w:lang w:eastAsia="zh-CN"/>
              </w:rPr>
              <w:t>2</w:t>
            </w:r>
          </w:p>
          <w:p w14:paraId="732A0AF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8.27提供多b值弥散成像技术：单序列同时最多采集b值≥12</w:t>
            </w:r>
          </w:p>
          <w:p w14:paraId="4581087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8.28弥散张量成像（DTI）的弥散方向数，单个序列一次采集≥256</w:t>
            </w:r>
          </w:p>
          <w:p w14:paraId="753AA94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w:t>
            </w:r>
            <w:r>
              <w:rPr>
                <w:rFonts w:hint="eastAsia" w:ascii="宋体" w:hAnsi="宋体" w:eastAsia="宋体" w:cs="Arial"/>
                <w:color w:val="auto"/>
                <w:kern w:val="0"/>
                <w:sz w:val="24"/>
                <w:szCs w:val="24"/>
                <w:highlight w:val="none"/>
                <w:lang w:val="en-US" w:eastAsia="zh-CN"/>
              </w:rPr>
              <w:t>.</w:t>
            </w:r>
            <w:r>
              <w:rPr>
                <w:rFonts w:hint="eastAsia" w:ascii="宋体" w:hAnsi="宋体" w:eastAsia="宋体" w:cs="Arial"/>
                <w:color w:val="auto"/>
                <w:kern w:val="0"/>
                <w:sz w:val="24"/>
                <w:szCs w:val="24"/>
                <w:highlight w:val="none"/>
              </w:rPr>
              <w:t>要求</w:t>
            </w:r>
          </w:p>
          <w:p w14:paraId="7E2B657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9.1自旋回波序列</w:t>
            </w:r>
          </w:p>
          <w:p w14:paraId="5ED447F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9.1.12D/3D快速自旋回波序列</w:t>
            </w:r>
          </w:p>
          <w:p w14:paraId="3DBD3E1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9.1.2组织驰豫时间测量SE</w:t>
            </w:r>
          </w:p>
          <w:p w14:paraId="30190BA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9.1.3单次激发快速自旋回波序列</w:t>
            </w:r>
          </w:p>
          <w:p w14:paraId="01B966F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9.1.4多次激发快速自旋回波序列</w:t>
            </w:r>
          </w:p>
          <w:p w14:paraId="408722E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9.1.5快速恢复快速自旋回波</w:t>
            </w:r>
          </w:p>
          <w:p w14:paraId="51358DB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9.2可选择角度的SE</w:t>
            </w:r>
          </w:p>
          <w:p w14:paraId="1731C39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9.3反转恢复序列</w:t>
            </w:r>
          </w:p>
          <w:p w14:paraId="4F3C2F2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9.4脂肪抑制序列</w:t>
            </w:r>
          </w:p>
          <w:p w14:paraId="7A6AE55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9.5频谱特异式大范围脂肪抑制</w:t>
            </w:r>
          </w:p>
          <w:p w14:paraId="544515C1">
            <w:pPr>
              <w:widowControl/>
              <w:tabs>
                <w:tab w:val="left" w:pos="420"/>
                <w:tab w:val="left" w:pos="900"/>
              </w:tabs>
              <w:rPr>
                <w:rFonts w:hint="eastAsia" w:ascii="宋体" w:hAnsi="宋体" w:eastAsia="宋体" w:cs="Arial"/>
                <w:color w:val="auto"/>
                <w:kern w:val="0"/>
                <w:sz w:val="24"/>
                <w:szCs w:val="24"/>
                <w:highlight w:val="none"/>
                <w:lang w:eastAsia="zh-CN"/>
              </w:rPr>
            </w:pPr>
            <w:r>
              <w:rPr>
                <w:rFonts w:hint="eastAsia" w:ascii="宋体" w:hAnsi="宋体" w:eastAsia="宋体" w:cs="Arial"/>
                <w:color w:val="auto"/>
                <w:kern w:val="0"/>
                <w:sz w:val="24"/>
                <w:szCs w:val="24"/>
                <w:highlight w:val="none"/>
              </w:rPr>
              <w:t>9.6快速自由水抑制序列包括</w:t>
            </w:r>
            <w:r>
              <w:rPr>
                <w:rFonts w:hint="eastAsia" w:ascii="宋体" w:hAnsi="宋体" w:eastAsia="宋体" w:cs="Arial"/>
                <w:color w:val="auto"/>
                <w:kern w:val="0"/>
                <w:sz w:val="24"/>
                <w:szCs w:val="24"/>
                <w:highlight w:val="none"/>
                <w:lang w:eastAsia="zh-CN"/>
              </w:rPr>
              <w:t>：</w:t>
            </w:r>
          </w:p>
          <w:p w14:paraId="549AB11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9.6.1快速自由水抑制序列T1W成像技术</w:t>
            </w:r>
          </w:p>
          <w:p w14:paraId="4BB0044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9.6.2快速自由水抑制序列T2W成像技术</w:t>
            </w:r>
          </w:p>
          <w:p w14:paraId="0352C48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9.7快速反转恢复序列（脂肪、水抑制）</w:t>
            </w:r>
          </w:p>
          <w:p w14:paraId="0F4EE94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9.8单次激发快速反转恢复序列</w:t>
            </w:r>
          </w:p>
          <w:p w14:paraId="3FE8CE1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9.9单独灰质或白质成像序列</w:t>
            </w:r>
          </w:p>
          <w:p w14:paraId="317D5B8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9.10 梯度回波序列（2D/3D）</w:t>
            </w:r>
          </w:p>
          <w:p w14:paraId="769F9D1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9.10.1亚秒T1加权技术</w:t>
            </w:r>
          </w:p>
          <w:p w14:paraId="04C06EC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9.10.2亚秒T2加权技术</w:t>
            </w:r>
          </w:p>
          <w:p w14:paraId="4A65233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9.10.3流动补偿技术</w:t>
            </w:r>
          </w:p>
          <w:p w14:paraId="55E1773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9.11稳态快速扫描技术</w:t>
            </w:r>
          </w:p>
          <w:p w14:paraId="5DE01A6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9.12超快速场回波序列</w:t>
            </w:r>
          </w:p>
          <w:p w14:paraId="3BB4884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9.13多层快速动态成像</w:t>
            </w:r>
          </w:p>
          <w:p w14:paraId="6424E8D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9.14锁孔成像技术</w:t>
            </w:r>
          </w:p>
          <w:p w14:paraId="0AFBB25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9.15三维成像</w:t>
            </w:r>
          </w:p>
          <w:p w14:paraId="1B93E12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9.16多块三维</w:t>
            </w:r>
          </w:p>
          <w:p w14:paraId="7024F87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9.17多叠三维</w:t>
            </w:r>
          </w:p>
          <w:p w14:paraId="74E0D77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9.18智能化K空间快门成像</w:t>
            </w:r>
          </w:p>
          <w:p w14:paraId="3540216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9.19磁化转移对比</w:t>
            </w:r>
          </w:p>
          <w:p w14:paraId="531C247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9.20 单次激发EPI技术</w:t>
            </w:r>
          </w:p>
          <w:p w14:paraId="4A41D94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9.21多次激发EPI技术</w:t>
            </w:r>
          </w:p>
          <w:p w14:paraId="1F540C3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9.222D/3D流入法血管造影</w:t>
            </w:r>
          </w:p>
          <w:p w14:paraId="3AB05D8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9.23快速流入法血管造影</w:t>
            </w:r>
          </w:p>
          <w:p w14:paraId="738ADE2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9.24快速3D增强MRA</w:t>
            </w:r>
          </w:p>
          <w:p w14:paraId="7F2B987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9.25倾角优化非饱和激发技术</w:t>
            </w:r>
          </w:p>
          <w:p w14:paraId="7F1AD47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9.26</w:t>
            </w:r>
            <w:r>
              <w:rPr>
                <w:rFonts w:hint="eastAsia" w:ascii="宋体" w:hAnsi="宋体" w:eastAsia="宋体" w:cs="Arial"/>
                <w:color w:val="auto"/>
                <w:kern w:val="0"/>
                <w:sz w:val="24"/>
                <w:szCs w:val="24"/>
                <w:highlight w:val="none"/>
                <w:lang w:val="en-US" w:eastAsia="zh-CN"/>
              </w:rPr>
              <w:t xml:space="preserve"> </w:t>
            </w:r>
            <w:r>
              <w:rPr>
                <w:rFonts w:hint="eastAsia" w:ascii="宋体" w:hAnsi="宋体" w:eastAsia="宋体" w:cs="Arial"/>
                <w:color w:val="auto"/>
                <w:kern w:val="0"/>
                <w:sz w:val="24"/>
                <w:szCs w:val="24"/>
                <w:highlight w:val="none"/>
              </w:rPr>
              <w:t>2D/3D相位对比血管造影</w:t>
            </w:r>
          </w:p>
          <w:p w14:paraId="76FF6EC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9.27快速相位对比血管造影</w:t>
            </w:r>
          </w:p>
          <w:p w14:paraId="5FED4EB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9.28伪影消除技术，包括</w:t>
            </w:r>
          </w:p>
          <w:p w14:paraId="2471EE8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9.28.1恒定信号技术</w:t>
            </w:r>
          </w:p>
          <w:p w14:paraId="4D1C342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9.28.2流动校正梯度波形技术</w:t>
            </w:r>
          </w:p>
          <w:p w14:paraId="465B157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9.28.3区域饱和技术</w:t>
            </w:r>
          </w:p>
          <w:p w14:paraId="603F101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9.28.4卷积伪影去除技术</w:t>
            </w:r>
          </w:p>
          <w:p w14:paraId="42A2C25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9.28.5周边脉动触发技术</w:t>
            </w:r>
          </w:p>
          <w:p w14:paraId="3870ADE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9.28.6呼吸触发技术</w:t>
            </w:r>
          </w:p>
          <w:p w14:paraId="38F7C38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9.28.7智能伪影消除技术</w:t>
            </w:r>
          </w:p>
          <w:p w14:paraId="7F477B6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9.28.8减少呼吸运动伪影不增加扫描时间技术</w:t>
            </w:r>
          </w:p>
          <w:p w14:paraId="7457FC6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9.28.9</w:t>
            </w:r>
            <w:r>
              <w:rPr>
                <w:rFonts w:hint="eastAsia" w:ascii="宋体" w:hAnsi="宋体" w:eastAsia="宋体" w:cs="Arial"/>
                <w:color w:val="auto"/>
                <w:kern w:val="0"/>
                <w:sz w:val="24"/>
                <w:szCs w:val="24"/>
                <w:highlight w:val="none"/>
                <w:lang w:val="en-US" w:eastAsia="zh-CN"/>
              </w:rPr>
              <w:t xml:space="preserve"> </w:t>
            </w:r>
            <w:r>
              <w:rPr>
                <w:rFonts w:hint="eastAsia" w:ascii="宋体" w:hAnsi="宋体" w:eastAsia="宋体" w:cs="Arial"/>
                <w:color w:val="auto"/>
                <w:kern w:val="0"/>
                <w:sz w:val="24"/>
                <w:szCs w:val="24"/>
                <w:highlight w:val="none"/>
              </w:rPr>
              <w:t>Manual-Start/stop</w:t>
            </w:r>
          </w:p>
          <w:p w14:paraId="6FD0003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9.28.10其它伪影消除技术</w:t>
            </w:r>
          </w:p>
          <w:p w14:paraId="6B60EB8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9.29节时技术, 包括:</w:t>
            </w:r>
          </w:p>
          <w:p w14:paraId="330BFA1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9.29.1半扫描技术</w:t>
            </w:r>
          </w:p>
          <w:p w14:paraId="6DDF386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9.29.2部分扫描采集技术</w:t>
            </w:r>
          </w:p>
          <w:p w14:paraId="4AE185F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9.29.3矩形视野采集技术</w:t>
            </w:r>
          </w:p>
          <w:p w14:paraId="7E845B1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9.29.4三维重叠连续采集技术</w:t>
            </w:r>
          </w:p>
          <w:p w14:paraId="2CF57E9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9.29.5预备相位极小化扫描技术</w:t>
            </w:r>
          </w:p>
          <w:p w14:paraId="2D20AC8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9.30 神经系统成像技术</w:t>
            </w:r>
          </w:p>
          <w:p w14:paraId="3053826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9.30.1高分辨解剖成像</w:t>
            </w:r>
          </w:p>
          <w:p w14:paraId="66FA47B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9.30.2脊髓成像</w:t>
            </w:r>
          </w:p>
          <w:p w14:paraId="4B57363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9.30.3脑脊液抑制技术</w:t>
            </w:r>
          </w:p>
          <w:p w14:paraId="189871D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9.30.4脂肪抑制</w:t>
            </w:r>
          </w:p>
          <w:p w14:paraId="42EEA78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9.30.5灰、白质最佳成像</w:t>
            </w:r>
          </w:p>
          <w:p w14:paraId="07B9134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9.31普通弥散成像技术，包括：</w:t>
            </w:r>
          </w:p>
          <w:p w14:paraId="10CE0E2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9.31.1单次激发EPI</w:t>
            </w:r>
          </w:p>
          <w:p w14:paraId="4B80D0D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9.31.2多次激发EPI</w:t>
            </w:r>
          </w:p>
          <w:p w14:paraId="07F076E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9.31.3各向同性采集</w:t>
            </w:r>
          </w:p>
          <w:p w14:paraId="3545E30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9.31.4各向异性采集</w:t>
            </w:r>
          </w:p>
          <w:p w14:paraId="5F367E8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9.31.5一次扫描完成三弥散方向采集</w:t>
            </w:r>
          </w:p>
          <w:p w14:paraId="7BA5882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9.31.6自旋回波EPI</w:t>
            </w:r>
          </w:p>
          <w:p w14:paraId="008D531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9.31.7梯度回波EPI</w:t>
            </w:r>
          </w:p>
          <w:p w14:paraId="1DA9DAE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9.31.8反转EPI</w:t>
            </w:r>
          </w:p>
          <w:p w14:paraId="6C4E48E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9.32特殊弥散成像技术，包括：</w:t>
            </w:r>
          </w:p>
          <w:p w14:paraId="1D95534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9.32.1ADC成像</w:t>
            </w:r>
          </w:p>
          <w:p w14:paraId="49AB988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9.32.2指数化表观弥散系数图（eADC MAP）</w:t>
            </w:r>
          </w:p>
          <w:p w14:paraId="66131FB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9.33脑灌注成像技术,包括</w:t>
            </w:r>
          </w:p>
          <w:p w14:paraId="1A803B0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9.33.1计算血流图（rCBV图）</w:t>
            </w:r>
          </w:p>
          <w:p w14:paraId="67AA9D6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9.33.2平均通过时间（MTT）</w:t>
            </w:r>
          </w:p>
          <w:p w14:paraId="5496BFD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9.33.3到达峰值时间（TTP）</w:t>
            </w:r>
          </w:p>
          <w:p w14:paraId="6A6C631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9.33.4负积分图（局部脑血容量）</w:t>
            </w:r>
          </w:p>
          <w:p w14:paraId="0078A1A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9.33.5检索图（局部脑血容量）</w:t>
            </w:r>
          </w:p>
          <w:p w14:paraId="7D86D9A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9.33.6彩色灌注分析软件</w:t>
            </w:r>
          </w:p>
          <w:p w14:paraId="70E3B16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9.33.7具备线上计算血流动态图</w:t>
            </w:r>
          </w:p>
          <w:p w14:paraId="7162DB6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9.33.8全脑不打药灌注成像技术</w:t>
            </w:r>
          </w:p>
          <w:p w14:paraId="60C6585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9.34心血管成像技术，包括：</w:t>
            </w:r>
          </w:p>
          <w:p w14:paraId="28E5969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9.34.12D/3D时飞法技术</w:t>
            </w:r>
          </w:p>
          <w:p w14:paraId="4CB8B3B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9.34.2连续多层3D时飞法技术</w:t>
            </w:r>
          </w:p>
          <w:p w14:paraId="1AF52CA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9.34.3门控2D血管技术</w:t>
            </w:r>
          </w:p>
          <w:p w14:paraId="47479DC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9.34.42D/3D相位对比法技术</w:t>
            </w:r>
          </w:p>
          <w:p w14:paraId="22214EB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9.34.5相位对比MRA技术</w:t>
            </w:r>
          </w:p>
          <w:p w14:paraId="019A70C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9.34.6增强对比MRA技术</w:t>
            </w:r>
          </w:p>
          <w:p w14:paraId="7684441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9.34.7</w:t>
            </w:r>
            <w:r>
              <w:rPr>
                <w:rFonts w:hint="eastAsia" w:ascii="宋体" w:hAnsi="宋体" w:eastAsia="宋体" w:cs="Arial"/>
                <w:color w:val="auto"/>
                <w:kern w:val="0"/>
                <w:sz w:val="24"/>
                <w:szCs w:val="24"/>
                <w:highlight w:val="none"/>
                <w:lang w:val="en-US" w:eastAsia="zh-CN"/>
              </w:rPr>
              <w:t xml:space="preserve"> </w:t>
            </w:r>
            <w:r>
              <w:rPr>
                <w:rFonts w:hint="eastAsia" w:ascii="宋体" w:hAnsi="宋体" w:eastAsia="宋体" w:cs="Arial"/>
                <w:color w:val="auto"/>
                <w:kern w:val="0"/>
                <w:sz w:val="24"/>
                <w:szCs w:val="24"/>
                <w:highlight w:val="none"/>
              </w:rPr>
              <w:t>TONE+MTC</w:t>
            </w:r>
          </w:p>
          <w:p w14:paraId="709D595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9.34.8血管选择技术（动静脉分离）</w:t>
            </w:r>
          </w:p>
          <w:p w14:paraId="169E5FA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9.34.9超快速血管成像技术</w:t>
            </w:r>
          </w:p>
          <w:p w14:paraId="070ED2B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9.34.9.1动态血管成像</w:t>
            </w:r>
          </w:p>
          <w:p w14:paraId="77F8950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9.34.9.2全身血管成像</w:t>
            </w:r>
          </w:p>
          <w:p w14:paraId="6C4BFB9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9.34.10可变反转角射频技术</w:t>
            </w:r>
          </w:p>
          <w:p w14:paraId="7B92350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9.34.11最大强度投影技术</w:t>
            </w:r>
          </w:p>
          <w:p w14:paraId="170138A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9.34.12多层面重建技术</w:t>
            </w:r>
          </w:p>
          <w:p w14:paraId="39D532E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9.34.133D多层重叠成像技术</w:t>
            </w:r>
          </w:p>
          <w:p w14:paraId="2420570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9.34.14智能化实时透视造影剂追踪血管成像技术</w:t>
            </w:r>
          </w:p>
          <w:p w14:paraId="6A6CB80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9.34.15智能化自动移床造影剂跟踪技术</w:t>
            </w:r>
          </w:p>
          <w:p w14:paraId="7C130A6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9.34.16实时交互式血管成像</w:t>
            </w:r>
          </w:p>
          <w:p w14:paraId="2E271D0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9.34.17流量定量分析技术</w:t>
            </w:r>
          </w:p>
          <w:p w14:paraId="3FB0136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9.34.18区域饱和技术</w:t>
            </w:r>
          </w:p>
          <w:p w14:paraId="73E3BBB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9.34.19心脏成像白血技术</w:t>
            </w:r>
          </w:p>
          <w:p w14:paraId="55AC334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9.34.20心脏成像黑血技术（双反转）</w:t>
            </w:r>
          </w:p>
          <w:p w14:paraId="3EDA847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9.34.21三反转法心肌黑血计算（心肌黑血+脂肪抑制技术）</w:t>
            </w:r>
          </w:p>
          <w:p w14:paraId="5DA1A8A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9.34.22心脏电影成像</w:t>
            </w:r>
          </w:p>
          <w:p w14:paraId="5F06F7C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9.34.23曲面重建技术</w:t>
            </w:r>
          </w:p>
          <w:p w14:paraId="7165184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9.34.24提供全身血管成像技术及图像</w:t>
            </w:r>
          </w:p>
          <w:p w14:paraId="49B5310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9.34.25心电门控</w:t>
            </w:r>
          </w:p>
          <w:p w14:paraId="3084654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9.34.26呼吸门控</w:t>
            </w:r>
          </w:p>
          <w:p w14:paraId="7A9D5A0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9.34.27外周门控</w:t>
            </w:r>
          </w:p>
          <w:p w14:paraId="5EA1DB3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9.34.28呼吸补偿</w:t>
            </w:r>
          </w:p>
          <w:p w14:paraId="3948236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9.34.29流动补偿</w:t>
            </w:r>
          </w:p>
          <w:p w14:paraId="6DA0395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9.34.30三维定位系统</w:t>
            </w:r>
          </w:p>
          <w:p w14:paraId="2E072B7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9.34.31频率编码方向扩大采集</w:t>
            </w:r>
          </w:p>
          <w:p w14:paraId="45F5D03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9.34.32相位编码方向扩大采集</w:t>
            </w:r>
          </w:p>
          <w:p w14:paraId="06985A8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9.34.33饱和带数目≥6</w:t>
            </w:r>
          </w:p>
          <w:p w14:paraId="045B189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9.34.34脂肪饱和技术</w:t>
            </w:r>
          </w:p>
          <w:p w14:paraId="5E348E2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9.34.35水饱和技术</w:t>
            </w:r>
          </w:p>
          <w:p w14:paraId="3B7F27A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9.34.36水激发技术</w:t>
            </w:r>
          </w:p>
          <w:p w14:paraId="7373371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9.34.37四维血管成像技术</w:t>
            </w:r>
          </w:p>
          <w:p w14:paraId="0152024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9.34.38梯度/相位重组回放血管成像</w:t>
            </w:r>
          </w:p>
          <w:p w14:paraId="576B180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9.34.39外周血管成像技术</w:t>
            </w:r>
          </w:p>
          <w:p w14:paraId="1D2D7D3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9.34.40体部血管成像技术</w:t>
            </w:r>
          </w:p>
          <w:p w14:paraId="6C0D70F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9.34.41磁化对比血管成像技术</w:t>
            </w:r>
          </w:p>
          <w:p w14:paraId="6643A59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9.34.423D黑血序列成像</w:t>
            </w:r>
          </w:p>
          <w:p w14:paraId="515D0BC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9.35体部成像技术包括</w:t>
            </w:r>
          </w:p>
          <w:p w14:paraId="0A88500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9.35.1腹部检查技术</w:t>
            </w:r>
          </w:p>
          <w:p w14:paraId="3B06880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9.35.2盆腔检查技术</w:t>
            </w:r>
          </w:p>
          <w:p w14:paraId="60BE3ED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9.35.3MR结肠造影技术</w:t>
            </w:r>
          </w:p>
          <w:p w14:paraId="7E15B54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9.35.4MR胰胆管造影技术</w:t>
            </w:r>
          </w:p>
          <w:p w14:paraId="43BAA4C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9.35.5动态肾脏成像</w:t>
            </w:r>
          </w:p>
          <w:p w14:paraId="6D2FFD1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9.35.6MR尿路造影技术</w:t>
            </w:r>
          </w:p>
          <w:p w14:paraId="7A2DFAD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9.35.7肝脏灌注成像</w:t>
            </w:r>
          </w:p>
          <w:p w14:paraId="46DE035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9.35.8肝脏弥散成像</w:t>
            </w:r>
          </w:p>
          <w:p w14:paraId="0D05E6A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9.35.9肾脏灌注成像</w:t>
            </w:r>
          </w:p>
          <w:p w14:paraId="173B3C2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9.35.10肾脏弥散成像</w:t>
            </w:r>
          </w:p>
          <w:p w14:paraId="3A4D3E2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9.36四肢及关节成像技术</w:t>
            </w:r>
          </w:p>
          <w:p w14:paraId="38F12ED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9.37并行采集技术</w:t>
            </w:r>
          </w:p>
          <w:p w14:paraId="71BC5A3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9.37.1并行采集最短加速因子≥4</w:t>
            </w:r>
          </w:p>
          <w:p w14:paraId="6ED6A76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9.37.2并行采集技术成像可与所有快速扫描技术合并使用</w:t>
            </w:r>
          </w:p>
          <w:p w14:paraId="5651111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9.37.3并行采集技术成像可与3D TOF血管成像技术结合使用</w:t>
            </w:r>
          </w:p>
          <w:p w14:paraId="7941FC6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9.37.4并行采集技术成像可与实时动态匀场技术结合使用</w:t>
            </w:r>
          </w:p>
          <w:p w14:paraId="1DA11A9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9.37.5并行采集时重建技术</w:t>
            </w:r>
          </w:p>
          <w:p w14:paraId="43442B6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9.37.6并行采集技术成像可与PCA结合使用</w:t>
            </w:r>
          </w:p>
          <w:p w14:paraId="46A7743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9.37.7并行采集技术成像可与频谱结合使用</w:t>
            </w:r>
          </w:p>
          <w:p w14:paraId="4974CAC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9.38其他成像技术，包括</w:t>
            </w:r>
          </w:p>
          <w:p w14:paraId="0FBC4B5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9.38.1三维定位系统</w:t>
            </w:r>
          </w:p>
          <w:p w14:paraId="558DE58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9.38.2扫描暂停</w:t>
            </w:r>
          </w:p>
          <w:p w14:paraId="3F0D653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9.38.3可变带宽技术</w:t>
            </w:r>
          </w:p>
          <w:p w14:paraId="72413E8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9.38.4优化带宽技术</w:t>
            </w:r>
          </w:p>
          <w:p w14:paraId="489AAFC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9.38.5腹部优化成像技术</w:t>
            </w:r>
          </w:p>
          <w:p w14:paraId="64CF816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9.38.6腹部3D容积多期动态增强脂肪抑制技术</w:t>
            </w:r>
          </w:p>
          <w:p w14:paraId="0691704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9.38.7预饱和技术</w:t>
            </w:r>
          </w:p>
          <w:p w14:paraId="45BDD14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9.38.8优化反转角度技术</w:t>
            </w:r>
          </w:p>
          <w:p w14:paraId="2DCE98D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9.38.9表面线圈密度校正成像技术</w:t>
            </w:r>
          </w:p>
          <w:p w14:paraId="704EAEF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9.38.10智能化照相成像技术</w:t>
            </w:r>
          </w:p>
          <w:p w14:paraId="3D2223C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9.38.11同相位/反相位成像</w:t>
            </w:r>
          </w:p>
          <w:p w14:paraId="2B18A4E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9.38.12快速射频干扰梯度回波</w:t>
            </w:r>
          </w:p>
          <w:p w14:paraId="096436E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9.38.133D屏气512矩阵高分辨率水成像</w:t>
            </w:r>
          </w:p>
          <w:p w14:paraId="02F38E9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9.38.14自由呼吸的三维高分辨率MR水成像</w:t>
            </w:r>
          </w:p>
          <w:p w14:paraId="61595D2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9.38.152D厚层水成像</w:t>
            </w:r>
          </w:p>
          <w:p w14:paraId="5EB549A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9.38.16预扫描技术</w:t>
            </w:r>
          </w:p>
          <w:p w14:paraId="4971860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9.38.17信噪比显示功能</w:t>
            </w:r>
          </w:p>
          <w:p w14:paraId="34808EB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9.38.18预饱和技术</w:t>
            </w:r>
          </w:p>
          <w:p w14:paraId="3CE5689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9.39伪影校正技术：提供患者运动伪影,金属伪影,磁敏感伪影校正技术</w:t>
            </w:r>
          </w:p>
          <w:p w14:paraId="669B925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9.40 腹部多期动态增强技术</w:t>
            </w:r>
          </w:p>
          <w:p w14:paraId="0E046D9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9.413D容积T2/FLAIR成像技术，扫描一次可在任意平面重建各向同性技术</w:t>
            </w:r>
          </w:p>
          <w:p w14:paraId="1EE3AC4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9.42重度T2*加权成像技术或者SWI</w:t>
            </w:r>
          </w:p>
          <w:p w14:paraId="29996DA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9.43增强型弥散成像技术</w:t>
            </w:r>
          </w:p>
          <w:p w14:paraId="5393880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9.44神经成像组件</w:t>
            </w:r>
          </w:p>
          <w:p w14:paraId="2D7F876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9.45血管成像组件</w:t>
            </w:r>
          </w:p>
          <w:p w14:paraId="7CE9AE0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9.46心脏成像组件</w:t>
            </w:r>
          </w:p>
          <w:p w14:paraId="499FC18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9.47乳腺成像组件</w:t>
            </w:r>
          </w:p>
          <w:p w14:paraId="1D9CD2C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9.48体部成像组件</w:t>
            </w:r>
          </w:p>
          <w:p w14:paraId="4217FFD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9.49肿瘤成像组件</w:t>
            </w:r>
          </w:p>
          <w:p w14:paraId="4FE7943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9.50 骨关节成像组件</w:t>
            </w:r>
          </w:p>
          <w:p w14:paraId="0469469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9.51儿童成像组件</w:t>
            </w:r>
          </w:p>
          <w:p w14:paraId="63E36A8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9.52参量图成像软件包</w:t>
            </w:r>
          </w:p>
          <w:p w14:paraId="6DEEDAD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9.53磁敏感加权成像</w:t>
            </w:r>
          </w:p>
          <w:p w14:paraId="1640347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9.54高级心脏成像软件包</w:t>
            </w:r>
          </w:p>
          <w:p w14:paraId="6B8E664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9.55全身压缩感知技术</w:t>
            </w:r>
          </w:p>
          <w:p w14:paraId="44775FE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9.56多对比度定量图谱技术</w:t>
            </w:r>
          </w:p>
          <w:p w14:paraId="68670C6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9.57智能操作平台</w:t>
            </w:r>
          </w:p>
          <w:p w14:paraId="2F5E500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9.57.1头部自动定位功能：飞利浦提供SmartBrain</w:t>
            </w:r>
            <w:r>
              <w:rPr>
                <w:rFonts w:hint="eastAsia" w:ascii="宋体" w:hAnsi="宋体" w:eastAsia="宋体" w:cs="Arial"/>
                <w:color w:val="auto"/>
                <w:kern w:val="0"/>
                <w:sz w:val="24"/>
                <w:szCs w:val="24"/>
                <w:highlight w:val="none"/>
                <w:lang w:eastAsia="zh-CN"/>
              </w:rPr>
              <w:t>，</w:t>
            </w:r>
            <w:r>
              <w:rPr>
                <w:rFonts w:hint="eastAsia" w:ascii="宋体" w:hAnsi="宋体" w:eastAsia="宋体" w:cs="Arial"/>
                <w:color w:val="auto"/>
                <w:kern w:val="0"/>
                <w:sz w:val="24"/>
                <w:szCs w:val="24"/>
                <w:highlight w:val="none"/>
              </w:rPr>
              <w:t>联影提供EasyScan-head</w:t>
            </w:r>
            <w:r>
              <w:rPr>
                <w:rFonts w:hint="eastAsia" w:ascii="宋体" w:hAnsi="宋体" w:eastAsia="宋体" w:cs="Arial"/>
                <w:color w:val="auto"/>
                <w:kern w:val="0"/>
                <w:sz w:val="24"/>
                <w:szCs w:val="24"/>
                <w:highlight w:val="none"/>
                <w:lang w:eastAsia="zh-CN"/>
              </w:rPr>
              <w:t>，</w:t>
            </w:r>
            <w:r>
              <w:rPr>
                <w:rFonts w:hint="eastAsia" w:ascii="宋体" w:hAnsi="宋体" w:eastAsia="宋体" w:cs="Arial"/>
                <w:color w:val="auto"/>
                <w:kern w:val="0"/>
                <w:sz w:val="24"/>
                <w:szCs w:val="24"/>
                <w:highlight w:val="none"/>
              </w:rPr>
              <w:t>西门子提供myExam Brain Assist</w:t>
            </w:r>
            <w:r>
              <w:rPr>
                <w:rFonts w:hint="eastAsia" w:ascii="宋体" w:hAnsi="宋体" w:eastAsia="宋体" w:cs="Arial"/>
                <w:color w:val="auto"/>
                <w:kern w:val="0"/>
                <w:sz w:val="24"/>
                <w:szCs w:val="24"/>
                <w:highlight w:val="none"/>
                <w:lang w:eastAsia="zh-CN"/>
              </w:rPr>
              <w:t>，</w:t>
            </w:r>
            <w:r>
              <w:rPr>
                <w:rFonts w:hint="eastAsia" w:ascii="宋体" w:hAnsi="宋体" w:eastAsia="宋体" w:cs="Arial"/>
                <w:color w:val="auto"/>
                <w:kern w:val="0"/>
                <w:sz w:val="24"/>
                <w:szCs w:val="24"/>
                <w:highlight w:val="none"/>
              </w:rPr>
              <w:t>GE提供FastBrain</w:t>
            </w:r>
            <w:r>
              <w:rPr>
                <w:rFonts w:hint="eastAsia" w:ascii="宋体" w:hAnsi="宋体" w:eastAsia="宋体" w:cs="Arial"/>
                <w:color w:val="auto"/>
                <w:kern w:val="0"/>
                <w:sz w:val="24"/>
                <w:szCs w:val="24"/>
                <w:highlight w:val="none"/>
                <w:lang w:eastAsia="zh-CN"/>
              </w:rPr>
              <w:t>，</w:t>
            </w:r>
            <w:r>
              <w:rPr>
                <w:rFonts w:hint="eastAsia" w:ascii="宋体" w:hAnsi="宋体" w:eastAsia="宋体" w:cs="Arial"/>
                <w:color w:val="auto"/>
                <w:kern w:val="0"/>
                <w:sz w:val="24"/>
                <w:szCs w:val="24"/>
                <w:highlight w:val="none"/>
              </w:rPr>
              <w:t>其他厂家提供相应技术</w:t>
            </w:r>
          </w:p>
          <w:p w14:paraId="39DB07F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9.57.2脊柱自动定位功能：飞利浦提供SmartSpine</w:t>
            </w:r>
            <w:r>
              <w:rPr>
                <w:rFonts w:hint="eastAsia" w:ascii="宋体" w:hAnsi="宋体" w:eastAsia="宋体" w:cs="Arial"/>
                <w:color w:val="auto"/>
                <w:kern w:val="0"/>
                <w:sz w:val="24"/>
                <w:szCs w:val="24"/>
                <w:highlight w:val="none"/>
                <w:lang w:eastAsia="zh-CN"/>
              </w:rPr>
              <w:t>，</w:t>
            </w:r>
            <w:r>
              <w:rPr>
                <w:rFonts w:hint="eastAsia" w:ascii="宋体" w:hAnsi="宋体" w:eastAsia="宋体" w:cs="Arial"/>
                <w:color w:val="auto"/>
                <w:kern w:val="0"/>
                <w:sz w:val="24"/>
                <w:szCs w:val="24"/>
                <w:highlight w:val="none"/>
              </w:rPr>
              <w:t>联影提供EasyScan-Spine</w:t>
            </w:r>
            <w:r>
              <w:rPr>
                <w:rFonts w:hint="eastAsia" w:ascii="宋体" w:hAnsi="宋体" w:eastAsia="宋体" w:cs="Arial"/>
                <w:color w:val="auto"/>
                <w:kern w:val="0"/>
                <w:sz w:val="24"/>
                <w:szCs w:val="24"/>
                <w:highlight w:val="none"/>
                <w:lang w:eastAsia="zh-CN"/>
              </w:rPr>
              <w:t>，</w:t>
            </w:r>
            <w:r>
              <w:rPr>
                <w:rFonts w:hint="eastAsia" w:ascii="宋体" w:hAnsi="宋体" w:eastAsia="宋体" w:cs="Arial"/>
                <w:color w:val="auto"/>
                <w:kern w:val="0"/>
                <w:sz w:val="24"/>
                <w:szCs w:val="24"/>
                <w:highlight w:val="none"/>
              </w:rPr>
              <w:t>西门子提供myExam Spine Assist</w:t>
            </w:r>
            <w:r>
              <w:rPr>
                <w:rFonts w:hint="eastAsia" w:ascii="宋体" w:hAnsi="宋体" w:eastAsia="宋体" w:cs="Arial"/>
                <w:color w:val="auto"/>
                <w:kern w:val="0"/>
                <w:sz w:val="24"/>
                <w:szCs w:val="24"/>
                <w:highlight w:val="none"/>
                <w:lang w:eastAsia="zh-CN"/>
              </w:rPr>
              <w:t>，</w:t>
            </w:r>
            <w:r>
              <w:rPr>
                <w:rFonts w:hint="eastAsia" w:ascii="宋体" w:hAnsi="宋体" w:eastAsia="宋体" w:cs="Arial"/>
                <w:color w:val="auto"/>
                <w:kern w:val="0"/>
                <w:sz w:val="24"/>
                <w:szCs w:val="24"/>
                <w:highlight w:val="none"/>
              </w:rPr>
              <w:t>其他厂家提供相应技术</w:t>
            </w:r>
          </w:p>
          <w:p w14:paraId="4F76692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9.57.3关节自动定位功能：飞利浦提供Smartknee</w:t>
            </w:r>
            <w:r>
              <w:rPr>
                <w:rFonts w:hint="eastAsia" w:ascii="宋体" w:hAnsi="宋体" w:eastAsia="宋体" w:cs="Arial"/>
                <w:color w:val="auto"/>
                <w:kern w:val="0"/>
                <w:sz w:val="24"/>
                <w:szCs w:val="24"/>
                <w:highlight w:val="none"/>
                <w:lang w:eastAsia="zh-CN"/>
              </w:rPr>
              <w:t>，</w:t>
            </w:r>
            <w:r>
              <w:rPr>
                <w:rFonts w:hint="eastAsia" w:ascii="宋体" w:hAnsi="宋体" w:eastAsia="宋体" w:cs="Arial"/>
                <w:color w:val="auto"/>
                <w:kern w:val="0"/>
                <w:sz w:val="24"/>
                <w:szCs w:val="24"/>
                <w:highlight w:val="none"/>
              </w:rPr>
              <w:t>联影提供EasyScan-knee</w:t>
            </w:r>
            <w:r>
              <w:rPr>
                <w:rFonts w:hint="eastAsia" w:ascii="宋体" w:hAnsi="宋体" w:eastAsia="宋体" w:cs="Arial"/>
                <w:color w:val="auto"/>
                <w:kern w:val="0"/>
                <w:sz w:val="24"/>
                <w:szCs w:val="24"/>
                <w:highlight w:val="none"/>
                <w:lang w:eastAsia="zh-CN"/>
              </w:rPr>
              <w:t>，</w:t>
            </w:r>
            <w:r>
              <w:rPr>
                <w:rFonts w:hint="eastAsia" w:ascii="宋体" w:hAnsi="宋体" w:eastAsia="宋体" w:cs="Arial"/>
                <w:color w:val="auto"/>
                <w:kern w:val="0"/>
                <w:sz w:val="24"/>
                <w:szCs w:val="24"/>
                <w:highlight w:val="none"/>
              </w:rPr>
              <w:t>西门子提供myExam Large Joint Assist</w:t>
            </w:r>
            <w:r>
              <w:rPr>
                <w:rFonts w:hint="eastAsia" w:ascii="宋体" w:hAnsi="宋体" w:eastAsia="宋体" w:cs="Arial"/>
                <w:color w:val="auto"/>
                <w:kern w:val="0"/>
                <w:sz w:val="24"/>
                <w:szCs w:val="24"/>
                <w:highlight w:val="none"/>
                <w:lang w:eastAsia="zh-CN"/>
              </w:rPr>
              <w:t>，</w:t>
            </w:r>
            <w:r>
              <w:rPr>
                <w:rFonts w:hint="eastAsia" w:ascii="宋体" w:hAnsi="宋体" w:eastAsia="宋体" w:cs="Arial"/>
                <w:color w:val="auto"/>
                <w:kern w:val="0"/>
                <w:sz w:val="24"/>
                <w:szCs w:val="24"/>
                <w:highlight w:val="none"/>
              </w:rPr>
              <w:t>其他厂家提供相应技术</w:t>
            </w:r>
          </w:p>
          <w:p w14:paraId="577CC81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9.58深度学习技术：飞利浦提供SmartSpeed</w:t>
            </w:r>
            <w:r>
              <w:rPr>
                <w:rFonts w:hint="eastAsia" w:ascii="宋体" w:hAnsi="宋体" w:eastAsia="宋体" w:cs="Arial"/>
                <w:color w:val="auto"/>
                <w:kern w:val="0"/>
                <w:sz w:val="24"/>
                <w:szCs w:val="24"/>
                <w:highlight w:val="none"/>
                <w:lang w:eastAsia="zh-CN"/>
              </w:rPr>
              <w:t>，</w:t>
            </w:r>
            <w:r>
              <w:rPr>
                <w:rFonts w:hint="eastAsia" w:ascii="宋体" w:hAnsi="宋体" w:eastAsia="宋体" w:cs="Arial"/>
                <w:color w:val="auto"/>
                <w:kern w:val="0"/>
                <w:sz w:val="24"/>
                <w:szCs w:val="24"/>
                <w:highlight w:val="none"/>
              </w:rPr>
              <w:t>GE提供AIR TM Recon DL</w:t>
            </w:r>
            <w:r>
              <w:rPr>
                <w:rFonts w:hint="eastAsia" w:ascii="宋体" w:hAnsi="宋体" w:eastAsia="宋体" w:cs="Arial"/>
                <w:color w:val="auto"/>
                <w:kern w:val="0"/>
                <w:sz w:val="24"/>
                <w:szCs w:val="24"/>
                <w:highlight w:val="none"/>
                <w:lang w:eastAsia="zh-CN"/>
              </w:rPr>
              <w:t>，</w:t>
            </w:r>
            <w:r>
              <w:rPr>
                <w:rFonts w:hint="eastAsia" w:ascii="宋体" w:hAnsi="宋体" w:eastAsia="宋体" w:cs="Arial"/>
                <w:color w:val="auto"/>
                <w:kern w:val="0"/>
                <w:sz w:val="24"/>
                <w:szCs w:val="24"/>
                <w:highlight w:val="none"/>
              </w:rPr>
              <w:t>西门子提供Deep Resolve Boost</w:t>
            </w:r>
            <w:r>
              <w:rPr>
                <w:rFonts w:hint="eastAsia" w:ascii="宋体" w:hAnsi="宋体" w:eastAsia="宋体" w:cs="Arial"/>
                <w:color w:val="auto"/>
                <w:kern w:val="0"/>
                <w:sz w:val="24"/>
                <w:szCs w:val="24"/>
                <w:highlight w:val="none"/>
                <w:lang w:eastAsia="zh-CN"/>
              </w:rPr>
              <w:t>，</w:t>
            </w:r>
            <w:r>
              <w:rPr>
                <w:rFonts w:hint="eastAsia" w:ascii="宋体" w:hAnsi="宋体" w:eastAsia="宋体" w:cs="Arial"/>
                <w:color w:val="auto"/>
                <w:kern w:val="0"/>
                <w:sz w:val="24"/>
                <w:szCs w:val="24"/>
                <w:highlight w:val="none"/>
              </w:rPr>
              <w:t>其他厂家提供相应技术</w:t>
            </w:r>
          </w:p>
          <w:p w14:paraId="41E78F7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10</w:t>
            </w:r>
            <w:r>
              <w:rPr>
                <w:rFonts w:hint="eastAsia" w:ascii="宋体" w:hAnsi="宋体" w:eastAsia="宋体" w:cs="Arial"/>
                <w:color w:val="auto"/>
                <w:kern w:val="0"/>
                <w:sz w:val="24"/>
                <w:szCs w:val="24"/>
                <w:highlight w:val="none"/>
                <w:lang w:val="en-US" w:eastAsia="zh-CN"/>
              </w:rPr>
              <w:t>.</w:t>
            </w:r>
            <w:r>
              <w:rPr>
                <w:rFonts w:hint="eastAsia" w:ascii="宋体" w:hAnsi="宋体" w:eastAsia="宋体" w:cs="Arial"/>
                <w:color w:val="auto"/>
                <w:kern w:val="0"/>
                <w:sz w:val="24"/>
                <w:szCs w:val="24"/>
                <w:highlight w:val="none"/>
              </w:rPr>
              <w:t>图像处理工作站</w:t>
            </w:r>
          </w:p>
          <w:p w14:paraId="2D658D6C">
            <w:pPr>
              <w:widowControl/>
              <w:tabs>
                <w:tab w:val="left" w:pos="420"/>
                <w:tab w:val="left" w:pos="900"/>
              </w:tabs>
              <w:rPr>
                <w:rFonts w:hint="eastAsia" w:ascii="宋体" w:hAnsi="宋体" w:eastAsia="宋体" w:cs="Arial"/>
                <w:color w:val="auto"/>
                <w:kern w:val="0"/>
                <w:sz w:val="24"/>
                <w:szCs w:val="24"/>
                <w:highlight w:val="none"/>
                <w:lang w:eastAsia="zh-CN"/>
              </w:rPr>
            </w:pPr>
            <w:r>
              <w:rPr>
                <w:rFonts w:hint="eastAsia" w:ascii="宋体" w:hAnsi="宋体" w:eastAsia="宋体" w:cs="Arial"/>
                <w:color w:val="auto"/>
                <w:kern w:val="0"/>
                <w:sz w:val="24"/>
                <w:szCs w:val="24"/>
                <w:highlight w:val="none"/>
              </w:rPr>
              <w:t>▲10.1高级影像后处理工作站（相应功能由主机实现，后处理软件包配置在主机及工作站上均能进行）：提供原厂专用高级影像后处理工作站一套</w:t>
            </w:r>
            <w:r>
              <w:rPr>
                <w:rFonts w:hint="eastAsia" w:ascii="宋体" w:hAnsi="宋体" w:eastAsia="宋体" w:cs="Arial"/>
                <w:color w:val="auto"/>
                <w:kern w:val="0"/>
                <w:sz w:val="24"/>
                <w:szCs w:val="24"/>
                <w:highlight w:val="none"/>
                <w:lang w:eastAsia="zh-CN"/>
              </w:rPr>
              <w:t>。</w:t>
            </w:r>
          </w:p>
          <w:p w14:paraId="224446D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10.2显示器≥19英寸</w:t>
            </w:r>
          </w:p>
          <w:p w14:paraId="0DC97DF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10.3CPU≥1.5GHZ</w:t>
            </w:r>
          </w:p>
          <w:p w14:paraId="56AEF3E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10.4内存≥8GB</w:t>
            </w:r>
          </w:p>
          <w:p w14:paraId="29A93AE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10.5硬盘容量≥128GB</w:t>
            </w:r>
          </w:p>
          <w:p w14:paraId="5531743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10.6工作站上的处理软件必须按照11项标准要求提供</w:t>
            </w:r>
          </w:p>
          <w:p w14:paraId="352318D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10.7DICOM图像转换成JPG格式</w:t>
            </w:r>
          </w:p>
          <w:p w14:paraId="2578569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10.8图像融合</w:t>
            </w:r>
          </w:p>
          <w:p w14:paraId="01EA504D">
            <w:pPr>
              <w:keepNext w:val="0"/>
              <w:keepLines w:val="0"/>
              <w:pageBreakBefore w:val="0"/>
              <w:widowControl/>
              <w:tabs>
                <w:tab w:val="left" w:pos="420"/>
                <w:tab w:val="left" w:pos="900"/>
              </w:tabs>
              <w:kinsoku/>
              <w:wordWrap w:val="0"/>
              <w:overflowPunct/>
              <w:topLinePunct w:val="0"/>
              <w:autoSpaceDE/>
              <w:autoSpaceDN/>
              <w:bidi w:val="0"/>
              <w:adjustRightInd/>
              <w:snapToGrid/>
              <w:textAlignment w:val="auto"/>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10.9 病人数据库</w:t>
            </w:r>
          </w:p>
          <w:p w14:paraId="3848C046">
            <w:pPr>
              <w:keepNext w:val="0"/>
              <w:keepLines w:val="0"/>
              <w:pageBreakBefore w:val="0"/>
              <w:widowControl/>
              <w:tabs>
                <w:tab w:val="left" w:pos="420"/>
                <w:tab w:val="left" w:pos="900"/>
              </w:tabs>
              <w:kinsoku/>
              <w:wordWrap w:val="0"/>
              <w:overflowPunct/>
              <w:topLinePunct w:val="0"/>
              <w:autoSpaceDE/>
              <w:autoSpaceDN/>
              <w:bidi w:val="0"/>
              <w:adjustRightInd/>
              <w:snapToGrid/>
              <w:textAlignment w:val="auto"/>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10.10提供DICOM3.0标准，包括DICOM Send/Receive、Query/Receive、Basic Print、Worklist、Storage.等</w:t>
            </w:r>
          </w:p>
          <w:p w14:paraId="49D9461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10.10.1</w:t>
            </w:r>
            <w:r>
              <w:rPr>
                <w:rFonts w:hint="eastAsia" w:ascii="宋体" w:hAnsi="宋体" w:eastAsia="宋体" w:cs="Arial"/>
                <w:color w:val="auto"/>
                <w:kern w:val="0"/>
                <w:sz w:val="24"/>
                <w:szCs w:val="24"/>
                <w:highlight w:val="none"/>
                <w:lang w:val="en-US" w:eastAsia="zh-CN"/>
              </w:rPr>
              <w:t xml:space="preserve"> </w:t>
            </w:r>
            <w:r>
              <w:rPr>
                <w:rFonts w:hint="eastAsia" w:ascii="宋体" w:hAnsi="宋体" w:eastAsia="宋体" w:cs="Arial"/>
                <w:color w:val="auto"/>
                <w:kern w:val="0"/>
                <w:sz w:val="24"/>
                <w:szCs w:val="24"/>
                <w:highlight w:val="none"/>
              </w:rPr>
              <w:t>DICOM3.0标准激光相机数字接口</w:t>
            </w:r>
          </w:p>
          <w:p w14:paraId="3B159D1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w:t>
            </w:r>
            <w:r>
              <w:rPr>
                <w:rFonts w:hint="eastAsia" w:ascii="宋体" w:hAnsi="宋体" w:eastAsia="宋体" w:cs="Arial"/>
                <w:color w:val="auto"/>
                <w:kern w:val="0"/>
                <w:sz w:val="24"/>
                <w:szCs w:val="24"/>
                <w:highlight w:val="none"/>
                <w:lang w:val="en-US" w:eastAsia="zh-CN"/>
              </w:rPr>
              <w:t>.</w:t>
            </w:r>
            <w:r>
              <w:rPr>
                <w:rFonts w:hint="eastAsia" w:ascii="宋体" w:hAnsi="宋体" w:eastAsia="宋体" w:cs="Arial"/>
                <w:color w:val="auto"/>
                <w:kern w:val="0"/>
                <w:sz w:val="24"/>
                <w:szCs w:val="24"/>
                <w:highlight w:val="none"/>
              </w:rPr>
              <w:t>临床应用软件</w:t>
            </w:r>
          </w:p>
          <w:p w14:paraId="2CAC8E9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11.13D后处理功能软件</w:t>
            </w:r>
          </w:p>
          <w:p w14:paraId="1651643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11.1.1MPR</w:t>
            </w:r>
          </w:p>
          <w:p w14:paraId="4FD0044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11.1.2SSD</w:t>
            </w:r>
          </w:p>
          <w:p w14:paraId="4994BE9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11.1.3MIP</w:t>
            </w:r>
          </w:p>
          <w:p w14:paraId="144CA8A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11.1.4VR</w:t>
            </w:r>
          </w:p>
          <w:p w14:paraId="59F89B7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11.2交互成像技术</w:t>
            </w:r>
          </w:p>
          <w:p w14:paraId="4561A1C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11.3弥散成像</w:t>
            </w:r>
          </w:p>
          <w:p w14:paraId="3CBA4EC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11.3.1弥散成像ADC图</w:t>
            </w:r>
          </w:p>
          <w:p w14:paraId="5B29DC8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11.3.2弥散张量成像</w:t>
            </w:r>
          </w:p>
          <w:p w14:paraId="15072C6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11.3.3白质纤维束追踪技术</w:t>
            </w:r>
          </w:p>
          <w:p w14:paraId="7E69A0C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11.3.4弥散张量方向数≥256</w:t>
            </w:r>
          </w:p>
          <w:p w14:paraId="68019BD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11.3.5全身DWI成像及其后处理和拼接、融合软件</w:t>
            </w:r>
          </w:p>
          <w:p w14:paraId="26C6EA7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11.3.6高清弥散成像（多次激发，分段读出）或具备类似功能</w:t>
            </w:r>
          </w:p>
          <w:p w14:paraId="0685E21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11.4灌注成像（包括有和无对比剂增强的灌注成像）</w:t>
            </w:r>
          </w:p>
          <w:p w14:paraId="12998F3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11.5磁共振血管造影技术(MRA)</w:t>
            </w:r>
          </w:p>
          <w:p w14:paraId="315F02A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11.5.1MOTSA</w:t>
            </w:r>
          </w:p>
          <w:p w14:paraId="33BF439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11.5.2TONE(Ramped excitation)</w:t>
            </w:r>
          </w:p>
          <w:p w14:paraId="1D16829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11.5.3MTC</w:t>
            </w:r>
          </w:p>
          <w:p w14:paraId="3247374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11.5.4TOF 2D/3D</w:t>
            </w:r>
          </w:p>
          <w:p w14:paraId="487CBAC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11.5.5PC 2D/3D</w:t>
            </w:r>
          </w:p>
          <w:p w14:paraId="0C91B69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11.5.6PC Cine</w:t>
            </w:r>
          </w:p>
          <w:p w14:paraId="53EFA82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11.5.7CE-MRA</w:t>
            </w:r>
          </w:p>
          <w:p w14:paraId="2EC4EE5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11.5.8Whole body peripheral MRA</w:t>
            </w:r>
          </w:p>
          <w:p w14:paraId="4494FA5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11.5.9Bolus tracking</w:t>
            </w:r>
          </w:p>
          <w:p w14:paraId="66FA4CD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11.5.9.1自动步进血管造影技术</w:t>
            </w:r>
          </w:p>
          <w:p w14:paraId="626EB1B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11.5.9.2无造影剂MRA技术：体部、外周无造影剂MRA技术</w:t>
            </w:r>
          </w:p>
          <w:p w14:paraId="54C9A6B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11.5.9.3高级血管分析软件包</w:t>
            </w:r>
          </w:p>
          <w:p w14:paraId="09BE4D3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11.6心脏成像软件包</w:t>
            </w:r>
          </w:p>
          <w:p w14:paraId="01DB448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11.6.1心脏功能</w:t>
            </w:r>
          </w:p>
          <w:p w14:paraId="17C9667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11.6.2心电图</w:t>
            </w:r>
          </w:p>
          <w:p w14:paraId="1B5EFA8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11.6.3常规形态学成像</w:t>
            </w:r>
          </w:p>
          <w:p w14:paraId="411A64D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11.6.4回波分享技术</w:t>
            </w:r>
          </w:p>
          <w:p w14:paraId="1DED8EA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11.6.5快速梯度回波/快速心脏采集</w:t>
            </w:r>
          </w:p>
          <w:p w14:paraId="0D8E03E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11.7氢质子频谱成像</w:t>
            </w:r>
          </w:p>
          <w:p w14:paraId="2AFEE98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11.7.1高级频谱分析软件包</w:t>
            </w:r>
          </w:p>
          <w:p w14:paraId="69E403A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11.7.2STEAM技术(激励回波采集法)和PRESS技术(自旋回波)</w:t>
            </w:r>
          </w:p>
          <w:p w14:paraId="648E14D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11.7.3单体素频谱</w:t>
            </w:r>
          </w:p>
          <w:p w14:paraId="39904AD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11.7.4多体素频谱</w:t>
            </w:r>
          </w:p>
          <w:p w14:paraId="2BFAD36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11.7.52D频谱成像（2DMRSI）</w:t>
            </w:r>
          </w:p>
          <w:p w14:paraId="7A93A0C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11.7.63D频谱成像 (3DMRSI)</w:t>
            </w:r>
          </w:p>
          <w:p w14:paraId="06DBFE5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11.7.72D多层频谱成像</w:t>
            </w:r>
          </w:p>
          <w:p w14:paraId="5C4A6F7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11.7.8乳腺频谱成像</w:t>
            </w:r>
          </w:p>
          <w:p w14:paraId="2C37C9F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11.7.9前列腺频谱成像</w:t>
            </w:r>
          </w:p>
          <w:p w14:paraId="788C51C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11.7.10肝脏波谱成像</w:t>
            </w:r>
          </w:p>
          <w:p w14:paraId="6DEC776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11.7.11频谱成像自动化高级高序匀场技术</w:t>
            </w:r>
          </w:p>
          <w:p w14:paraId="1650B9F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11.7.12频谱图透明覆盖技术</w:t>
            </w:r>
          </w:p>
          <w:p w14:paraId="4C2F913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11.7.13容积快速成像技术</w:t>
            </w:r>
          </w:p>
          <w:p w14:paraId="25481F9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11.7.14容积快速多期对比剂动态增强成像技术及后处理技术</w:t>
            </w:r>
          </w:p>
          <w:p w14:paraId="3377D83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11.8BOLD成像及高级后处理分析</w:t>
            </w:r>
          </w:p>
          <w:p w14:paraId="5E16E00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11.9磁敏感加权成像</w:t>
            </w:r>
          </w:p>
          <w:p w14:paraId="7D114EF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11.10 血管斑块成像分析</w:t>
            </w:r>
          </w:p>
          <w:p w14:paraId="7BFD534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11.11瓣膜成像技术</w:t>
            </w:r>
          </w:p>
          <w:p w14:paraId="3C4792D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11.12心肌标记技术</w:t>
            </w:r>
          </w:p>
          <w:p w14:paraId="4C88DBD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11.13首次通过法心肌灌注成像</w:t>
            </w:r>
          </w:p>
          <w:p w14:paraId="316B1D6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11.14延迟法心肌灌注成像</w:t>
            </w:r>
          </w:p>
          <w:p w14:paraId="7C8AD2B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11.15心脏电影成像</w:t>
            </w:r>
          </w:p>
          <w:p w14:paraId="5C04CBD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11.16.1肝脏脂肪精准定量分析</w:t>
            </w:r>
          </w:p>
          <w:p w14:paraId="19206B5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11.16.2T2 mapping功能</w:t>
            </w:r>
          </w:p>
          <w:p w14:paraId="75CE096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11.17铁含量定量分析，并可实现T2* mapping 功能</w:t>
            </w:r>
          </w:p>
          <w:p w14:paraId="04EF22B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11.18冠脉成像技术</w:t>
            </w:r>
          </w:p>
          <w:p w14:paraId="045E18F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11.19肿瘤新生毛细血管通透性分析包</w:t>
            </w:r>
          </w:p>
          <w:p w14:paraId="71846DA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11.20小视野高清弥散</w:t>
            </w:r>
          </w:p>
          <w:p w14:paraId="2782FB7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12</w:t>
            </w:r>
            <w:r>
              <w:rPr>
                <w:rFonts w:hint="eastAsia" w:ascii="宋体" w:hAnsi="宋体" w:eastAsia="宋体" w:cs="Arial"/>
                <w:color w:val="auto"/>
                <w:kern w:val="0"/>
                <w:sz w:val="24"/>
                <w:szCs w:val="24"/>
                <w:highlight w:val="none"/>
                <w:lang w:val="en-US" w:eastAsia="zh-CN"/>
              </w:rPr>
              <w:t>.</w:t>
            </w:r>
            <w:r>
              <w:rPr>
                <w:rFonts w:hint="eastAsia" w:ascii="宋体" w:hAnsi="宋体" w:eastAsia="宋体" w:cs="Arial"/>
                <w:color w:val="auto"/>
                <w:kern w:val="0"/>
                <w:sz w:val="24"/>
                <w:szCs w:val="24"/>
                <w:highlight w:val="none"/>
              </w:rPr>
              <w:t>第三方配置</w:t>
            </w:r>
            <w:r>
              <w:rPr>
                <w:rFonts w:hint="eastAsia" w:ascii="宋体" w:hAnsi="宋体" w:eastAsia="宋体" w:cs="Arial"/>
                <w:color w:val="auto"/>
                <w:kern w:val="0"/>
                <w:sz w:val="24"/>
                <w:szCs w:val="24"/>
                <w:highlight w:val="none"/>
                <w:lang w:eastAsia="zh-CN"/>
              </w:rPr>
              <w:t>（</w:t>
            </w:r>
            <w:r>
              <w:rPr>
                <w:rFonts w:hint="eastAsia" w:ascii="宋体" w:hAnsi="宋体" w:eastAsia="宋体" w:cs="Arial"/>
                <w:color w:val="auto"/>
                <w:kern w:val="0"/>
                <w:sz w:val="24"/>
                <w:szCs w:val="24"/>
                <w:highlight w:val="none"/>
                <w:lang w:eastAsia="zh-CN"/>
              </w:rPr>
              <w:t>必须满足医院实际需求</w:t>
            </w:r>
            <w:r>
              <w:rPr>
                <w:rFonts w:hint="eastAsia" w:ascii="宋体" w:hAnsi="宋体" w:eastAsia="宋体" w:cs="Arial"/>
                <w:color w:val="auto"/>
                <w:kern w:val="0"/>
                <w:sz w:val="24"/>
                <w:szCs w:val="24"/>
                <w:highlight w:val="none"/>
                <w:lang w:eastAsia="zh-CN"/>
              </w:rPr>
              <w:t>）</w:t>
            </w:r>
            <w:r>
              <w:rPr>
                <w:rFonts w:hint="eastAsia" w:ascii="宋体" w:hAnsi="宋体" w:eastAsia="宋体" w:cs="Arial"/>
                <w:color w:val="auto"/>
                <w:kern w:val="0"/>
                <w:sz w:val="24"/>
                <w:szCs w:val="24"/>
                <w:highlight w:val="none"/>
              </w:rPr>
              <w:t>：</w:t>
            </w:r>
            <w:r>
              <w:rPr>
                <w:rFonts w:hint="eastAsia" w:ascii="宋体" w:hAnsi="宋体" w:eastAsia="宋体" w:cs="Arial"/>
                <w:color w:val="auto"/>
                <w:kern w:val="0"/>
                <w:sz w:val="24"/>
                <w:szCs w:val="24"/>
                <w:highlight w:val="none"/>
                <w:lang w:eastAsia="zh-CN"/>
              </w:rPr>
              <w:t>具备</w:t>
            </w:r>
            <w:r>
              <w:rPr>
                <w:rFonts w:hint="eastAsia" w:ascii="宋体" w:hAnsi="宋体" w:eastAsia="宋体" w:cs="Arial"/>
                <w:color w:val="auto"/>
                <w:kern w:val="0"/>
                <w:sz w:val="24"/>
                <w:szCs w:val="24"/>
                <w:highlight w:val="none"/>
              </w:rPr>
              <w:t>水冷机、</w:t>
            </w:r>
            <w:r>
              <w:rPr>
                <w:rFonts w:hint="eastAsia" w:ascii="宋体" w:hAnsi="宋体" w:eastAsia="宋体" w:cs="Arial"/>
                <w:color w:val="auto"/>
                <w:kern w:val="0"/>
                <w:sz w:val="24"/>
                <w:szCs w:val="24"/>
                <w:highlight w:val="none"/>
              </w:rPr>
              <w:t>无磁</w:t>
            </w:r>
            <w:r>
              <w:rPr>
                <w:rFonts w:hint="eastAsia" w:ascii="宋体" w:hAnsi="宋体" w:eastAsia="宋体" w:cs="Arial"/>
                <w:color w:val="auto"/>
                <w:kern w:val="0"/>
                <w:sz w:val="24"/>
                <w:szCs w:val="24"/>
                <w:highlight w:val="none"/>
              </w:rPr>
              <w:t>高压注射器</w:t>
            </w:r>
            <w:r>
              <w:rPr>
                <w:rFonts w:hint="eastAsia" w:ascii="宋体" w:hAnsi="宋体" w:eastAsia="宋体" w:cs="Arial"/>
                <w:color w:val="auto"/>
                <w:kern w:val="0"/>
                <w:sz w:val="24"/>
                <w:szCs w:val="24"/>
                <w:highlight w:val="none"/>
                <w:lang w:val="en-US" w:eastAsia="zh-CN"/>
              </w:rPr>
              <w:t>1套</w:t>
            </w:r>
            <w:r>
              <w:rPr>
                <w:rFonts w:hint="eastAsia" w:ascii="宋体" w:hAnsi="宋体" w:eastAsia="宋体" w:cs="Arial"/>
                <w:color w:val="auto"/>
                <w:kern w:val="0"/>
                <w:sz w:val="24"/>
                <w:szCs w:val="24"/>
                <w:highlight w:val="none"/>
              </w:rPr>
              <w:t>、精密空调、磁屏蔽</w:t>
            </w:r>
            <w:r>
              <w:rPr>
                <w:rFonts w:hint="eastAsia" w:ascii="宋体" w:hAnsi="宋体" w:eastAsia="宋体" w:cs="Arial"/>
                <w:color w:val="auto"/>
                <w:kern w:val="0"/>
                <w:sz w:val="24"/>
                <w:szCs w:val="24"/>
                <w:highlight w:val="none"/>
                <w:lang w:eastAsia="zh-CN"/>
              </w:rPr>
              <w:t>、</w:t>
            </w:r>
            <w:r>
              <w:rPr>
                <w:rFonts w:hint="eastAsia" w:ascii="宋体" w:hAnsi="宋体" w:eastAsia="宋体" w:cs="Arial"/>
                <w:color w:val="auto"/>
                <w:kern w:val="0"/>
                <w:sz w:val="24"/>
                <w:szCs w:val="24"/>
                <w:highlight w:val="none"/>
              </w:rPr>
              <w:t>铁磁探测系统1套</w:t>
            </w:r>
            <w:r>
              <w:rPr>
                <w:rFonts w:hint="eastAsia" w:ascii="宋体" w:hAnsi="宋体" w:eastAsia="宋体" w:cs="Arial"/>
                <w:color w:val="auto"/>
                <w:kern w:val="0"/>
                <w:sz w:val="24"/>
                <w:szCs w:val="24"/>
                <w:highlight w:val="none"/>
                <w:lang w:eastAsia="zh-CN"/>
              </w:rPr>
              <w:t>、</w:t>
            </w:r>
            <w:r>
              <w:rPr>
                <w:rFonts w:hint="eastAsia" w:ascii="宋体" w:hAnsi="宋体" w:eastAsia="宋体" w:cs="Arial"/>
                <w:color w:val="auto"/>
                <w:kern w:val="0"/>
                <w:sz w:val="24"/>
                <w:szCs w:val="24"/>
                <w:highlight w:val="none"/>
              </w:rPr>
              <w:t>配置磁共振检查轮椅</w:t>
            </w:r>
            <w:r>
              <w:rPr>
                <w:rFonts w:hint="eastAsia" w:ascii="宋体" w:hAnsi="宋体" w:eastAsia="宋体" w:cs="Arial"/>
                <w:color w:val="auto"/>
                <w:kern w:val="0"/>
                <w:sz w:val="24"/>
                <w:szCs w:val="24"/>
                <w:highlight w:val="none"/>
                <w:lang w:val="en-US" w:eastAsia="zh-CN"/>
              </w:rPr>
              <w:t>1</w:t>
            </w:r>
            <w:r>
              <w:rPr>
                <w:rFonts w:hint="eastAsia" w:ascii="宋体" w:hAnsi="宋体" w:eastAsia="宋体" w:cs="Arial"/>
                <w:color w:val="auto"/>
                <w:kern w:val="0"/>
                <w:sz w:val="24"/>
                <w:szCs w:val="24"/>
                <w:highlight w:val="none"/>
              </w:rPr>
              <w:t>套</w:t>
            </w:r>
            <w:r>
              <w:rPr>
                <w:rFonts w:hint="eastAsia" w:ascii="宋体" w:hAnsi="宋体" w:eastAsia="宋体" w:cs="Arial"/>
                <w:color w:val="auto"/>
                <w:kern w:val="0"/>
                <w:sz w:val="24"/>
                <w:szCs w:val="24"/>
                <w:highlight w:val="none"/>
                <w:lang w:eastAsia="zh-CN"/>
              </w:rPr>
              <w:t>、</w:t>
            </w:r>
            <w:r>
              <w:rPr>
                <w:rFonts w:hint="eastAsia" w:ascii="宋体" w:hAnsi="宋体" w:eastAsia="宋体" w:cs="Arial"/>
                <w:color w:val="auto"/>
                <w:kern w:val="0"/>
                <w:sz w:val="24"/>
                <w:szCs w:val="24"/>
                <w:highlight w:val="none"/>
              </w:rPr>
              <w:t>配置无磁摄像系统1套</w:t>
            </w:r>
            <w:r>
              <w:rPr>
                <w:rFonts w:hint="eastAsia" w:ascii="宋体" w:hAnsi="宋体" w:eastAsia="宋体" w:cs="Arial"/>
                <w:color w:val="auto"/>
                <w:kern w:val="0"/>
                <w:sz w:val="24"/>
                <w:szCs w:val="24"/>
                <w:highlight w:val="none"/>
                <w:lang w:eastAsia="zh-CN"/>
              </w:rPr>
              <w:t>、</w:t>
            </w:r>
          </w:p>
          <w:p w14:paraId="6F300702">
            <w:pPr>
              <w:widowControl/>
              <w:tabs>
                <w:tab w:val="left" w:pos="420"/>
                <w:tab w:val="left" w:pos="900"/>
              </w:tabs>
              <w:rPr>
                <w:rFonts w:hint="default" w:ascii="宋体" w:hAnsi="宋体" w:eastAsia="宋体" w:cs="Arial"/>
                <w:color w:val="auto"/>
                <w:kern w:val="0"/>
                <w:sz w:val="24"/>
                <w:szCs w:val="24"/>
                <w:highlight w:val="none"/>
                <w:lang w:val="en-US" w:eastAsia="zh-CN"/>
              </w:rPr>
            </w:pPr>
            <w:r>
              <w:rPr>
                <w:rFonts w:hint="eastAsia" w:ascii="宋体" w:hAnsi="宋体" w:eastAsia="宋体" w:cs="Arial"/>
                <w:color w:val="auto"/>
                <w:kern w:val="0"/>
                <w:sz w:val="24"/>
                <w:szCs w:val="24"/>
                <w:highlight w:val="none"/>
              </w:rPr>
              <w:t>配置无磁转运床</w:t>
            </w:r>
            <w:r>
              <w:rPr>
                <w:rFonts w:hint="eastAsia" w:ascii="宋体" w:hAnsi="宋体" w:eastAsia="宋体" w:cs="Arial"/>
                <w:color w:val="auto"/>
                <w:kern w:val="0"/>
                <w:sz w:val="24"/>
                <w:szCs w:val="24"/>
                <w:highlight w:val="none"/>
                <w:lang w:val="en-US" w:eastAsia="zh-CN"/>
              </w:rPr>
              <w:t>1</w:t>
            </w:r>
            <w:r>
              <w:rPr>
                <w:rFonts w:hint="eastAsia" w:ascii="宋体" w:hAnsi="宋体" w:eastAsia="宋体" w:cs="Arial"/>
                <w:color w:val="auto"/>
                <w:kern w:val="0"/>
                <w:sz w:val="24"/>
                <w:szCs w:val="24"/>
                <w:highlight w:val="none"/>
              </w:rPr>
              <w:t>套</w:t>
            </w:r>
            <w:r>
              <w:rPr>
                <w:rFonts w:hint="eastAsia" w:ascii="宋体" w:hAnsi="宋体" w:eastAsia="宋体" w:cs="Arial"/>
                <w:color w:val="auto"/>
                <w:kern w:val="0"/>
                <w:sz w:val="24"/>
                <w:szCs w:val="24"/>
                <w:highlight w:val="none"/>
                <w:lang w:eastAsia="zh-CN"/>
              </w:rPr>
              <w:t>、无磁消毒仪</w:t>
            </w:r>
            <w:r>
              <w:rPr>
                <w:rFonts w:hint="eastAsia" w:ascii="宋体" w:hAnsi="宋体" w:eastAsia="宋体" w:cs="Arial"/>
                <w:color w:val="auto"/>
                <w:kern w:val="0"/>
                <w:sz w:val="24"/>
                <w:szCs w:val="24"/>
                <w:highlight w:val="none"/>
                <w:lang w:val="en-US" w:eastAsia="zh-CN"/>
              </w:rPr>
              <w:t>1套、</w:t>
            </w:r>
            <w:r>
              <w:rPr>
                <w:rFonts w:hint="eastAsia" w:ascii="宋体" w:hAnsi="宋体" w:eastAsia="宋体" w:cs="Arial"/>
                <w:color w:val="auto"/>
                <w:kern w:val="0"/>
                <w:sz w:val="24"/>
                <w:szCs w:val="24"/>
                <w:highlight w:val="none"/>
                <w:lang w:eastAsia="zh-CN"/>
              </w:rPr>
              <w:t>无磁线圈柜等。提供机房更新及改造所需相关事项。</w:t>
            </w:r>
          </w:p>
        </w:tc>
        <w:tc>
          <w:tcPr>
            <w:tcW w:w="454" w:type="pct"/>
            <w:tcBorders>
              <w:top w:val="single" w:color="auto" w:sz="4" w:space="0"/>
              <w:left w:val="nil"/>
              <w:bottom w:val="single" w:color="auto" w:sz="4" w:space="0"/>
              <w:right w:val="single" w:color="auto" w:sz="4" w:space="0"/>
            </w:tcBorders>
            <w:shd w:val="clear" w:color="auto" w:fill="FFFFFF"/>
            <w:vAlign w:val="center"/>
          </w:tcPr>
          <w:p w14:paraId="2089D1F0">
            <w:pPr>
              <w:widowControl/>
              <w:tabs>
                <w:tab w:val="left" w:pos="900"/>
              </w:tabs>
              <w:jc w:val="center"/>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套</w:t>
            </w:r>
          </w:p>
        </w:tc>
        <w:tc>
          <w:tcPr>
            <w:tcW w:w="454" w:type="pct"/>
            <w:tcBorders>
              <w:top w:val="single" w:color="auto" w:sz="4" w:space="0"/>
              <w:left w:val="nil"/>
              <w:bottom w:val="single" w:color="auto" w:sz="4" w:space="0"/>
              <w:right w:val="single" w:color="auto" w:sz="4" w:space="0"/>
            </w:tcBorders>
            <w:shd w:val="clear" w:color="auto" w:fill="FFFFFF"/>
            <w:vAlign w:val="center"/>
          </w:tcPr>
          <w:p w14:paraId="6247A18D">
            <w:pPr>
              <w:widowControl/>
              <w:tabs>
                <w:tab w:val="left" w:pos="900"/>
              </w:tabs>
              <w:jc w:val="center"/>
              <w:textAlignment w:val="center"/>
              <w:rPr>
                <w:rFonts w:hint="eastAsia" w:ascii="宋体" w:hAnsi="宋体" w:eastAsia="宋体" w:cs="Arial"/>
                <w:color w:val="auto"/>
                <w:kern w:val="0"/>
                <w:sz w:val="24"/>
                <w:szCs w:val="24"/>
                <w:highlight w:val="none"/>
                <w:lang w:eastAsia="zh-CN"/>
              </w:rPr>
            </w:pPr>
            <w:r>
              <w:rPr>
                <w:rFonts w:hint="eastAsia" w:ascii="宋体" w:hAnsi="宋体" w:eastAsia="宋体" w:cs="Arial"/>
                <w:color w:val="auto"/>
                <w:kern w:val="0"/>
                <w:sz w:val="24"/>
                <w:szCs w:val="24"/>
                <w:highlight w:val="none"/>
                <w:lang w:val="en-US" w:eastAsia="zh-CN"/>
              </w:rPr>
              <w:t>1</w:t>
            </w:r>
          </w:p>
        </w:tc>
        <w:tc>
          <w:tcPr>
            <w:tcW w:w="618" w:type="pct"/>
            <w:tcBorders>
              <w:top w:val="single" w:color="auto" w:sz="4" w:space="0"/>
              <w:left w:val="nil"/>
              <w:bottom w:val="single" w:color="auto" w:sz="4" w:space="0"/>
              <w:right w:val="single" w:color="auto" w:sz="4" w:space="0"/>
            </w:tcBorders>
            <w:vAlign w:val="center"/>
          </w:tcPr>
          <w:p w14:paraId="710D955B">
            <w:pPr>
              <w:widowControl/>
              <w:jc w:val="center"/>
              <w:rPr>
                <w:rFonts w:hint="default" w:ascii="宋体" w:hAnsi="宋体" w:eastAsia="宋体" w:cs="Arial"/>
                <w:color w:val="auto"/>
                <w:kern w:val="0"/>
                <w:sz w:val="24"/>
                <w:szCs w:val="24"/>
                <w:highlight w:val="none"/>
                <w:lang w:val="en-US" w:eastAsia="zh-CN"/>
              </w:rPr>
            </w:pPr>
            <w:r>
              <w:rPr>
                <w:rFonts w:hint="eastAsia" w:ascii="宋体" w:hAnsi="宋体" w:eastAsia="宋体" w:cs="Arial"/>
                <w:color w:val="auto"/>
                <w:kern w:val="0"/>
                <w:sz w:val="24"/>
                <w:szCs w:val="24"/>
                <w:highlight w:val="none"/>
                <w:lang w:val="en-US" w:eastAsia="zh-CN"/>
              </w:rPr>
              <w:t>是</w:t>
            </w:r>
          </w:p>
        </w:tc>
      </w:tr>
    </w:tbl>
    <w:p w14:paraId="7BA7E55C">
      <w:pPr>
        <w:spacing w:line="360" w:lineRule="auto"/>
        <w:rPr>
          <w:rFonts w:hint="eastAsia" w:ascii="宋体" w:hAnsi="宋体" w:eastAsia="宋体" w:cs="宋体"/>
          <w:bCs/>
          <w:color w:val="auto"/>
          <w:sz w:val="24"/>
          <w:szCs w:val="24"/>
          <w:highlight w:val="none"/>
        </w:rPr>
      </w:pPr>
    </w:p>
    <w:p w14:paraId="2C96E324">
      <w:pPr>
        <w:keepNext w:val="0"/>
        <w:keepLines w:val="0"/>
        <w:pageBreakBefore/>
        <w:widowControl w:val="0"/>
        <w:kinsoku/>
        <w:wordWrap/>
        <w:overflowPunct/>
        <w:topLinePunct w:val="0"/>
        <w:autoSpaceDE/>
        <w:autoSpaceDN/>
        <w:bidi w:val="0"/>
        <w:adjustRightInd/>
        <w:snapToGrid/>
        <w:spacing w:line="360" w:lineRule="auto"/>
        <w:ind w:firstLine="437"/>
        <w:textAlignment w:val="auto"/>
        <w:outlineLvl w:val="2"/>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0</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包：</w:t>
      </w:r>
    </w:p>
    <w:tbl>
      <w:tblPr>
        <w:tblStyle w:val="2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5"/>
        <w:gridCol w:w="1442"/>
        <w:gridCol w:w="3882"/>
        <w:gridCol w:w="774"/>
        <w:gridCol w:w="774"/>
        <w:gridCol w:w="1055"/>
      </w:tblGrid>
      <w:tr w14:paraId="15324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49" w:type="pct"/>
            <w:tcBorders>
              <w:top w:val="single" w:color="auto" w:sz="4" w:space="0"/>
              <w:left w:val="single" w:color="auto" w:sz="4" w:space="0"/>
              <w:bottom w:val="single" w:color="auto" w:sz="4" w:space="0"/>
              <w:right w:val="single" w:color="auto" w:sz="4" w:space="0"/>
            </w:tcBorders>
            <w:shd w:val="clear" w:color="auto" w:fill="FFFFFF"/>
            <w:vAlign w:val="center"/>
          </w:tcPr>
          <w:p w14:paraId="6908BA59">
            <w:pPr>
              <w:widowControl/>
              <w:tabs>
                <w:tab w:val="left" w:pos="420"/>
                <w:tab w:val="left" w:pos="900"/>
              </w:tabs>
              <w:jc w:val="center"/>
              <w:rPr>
                <w:rFonts w:hint="eastAsia" w:ascii="宋体" w:hAnsi="宋体" w:eastAsia="宋体" w:cs="Arial"/>
                <w:b/>
                <w:bCs/>
                <w:color w:val="auto"/>
                <w:kern w:val="0"/>
                <w:sz w:val="24"/>
                <w:szCs w:val="24"/>
                <w:highlight w:val="none"/>
              </w:rPr>
            </w:pPr>
            <w:r>
              <w:rPr>
                <w:rFonts w:hint="eastAsia" w:ascii="宋体" w:hAnsi="宋体" w:eastAsia="宋体" w:cs="Arial"/>
                <w:b/>
                <w:bCs/>
                <w:color w:val="auto"/>
                <w:kern w:val="0"/>
                <w:sz w:val="24"/>
                <w:szCs w:val="24"/>
                <w:highlight w:val="none"/>
              </w:rPr>
              <w:t>序号</w:t>
            </w:r>
          </w:p>
        </w:tc>
        <w:tc>
          <w:tcPr>
            <w:tcW w:w="846" w:type="pct"/>
            <w:tcBorders>
              <w:top w:val="single" w:color="auto" w:sz="4" w:space="0"/>
              <w:left w:val="nil"/>
              <w:bottom w:val="single" w:color="auto" w:sz="4" w:space="0"/>
              <w:right w:val="single" w:color="auto" w:sz="4" w:space="0"/>
            </w:tcBorders>
            <w:shd w:val="clear" w:color="auto" w:fill="FFFFFF"/>
            <w:vAlign w:val="center"/>
          </w:tcPr>
          <w:p w14:paraId="7F2636DD">
            <w:pPr>
              <w:widowControl/>
              <w:tabs>
                <w:tab w:val="left" w:pos="420"/>
                <w:tab w:val="left" w:pos="900"/>
              </w:tabs>
              <w:jc w:val="center"/>
              <w:rPr>
                <w:rFonts w:hint="eastAsia" w:ascii="宋体" w:hAnsi="宋体" w:eastAsia="宋体" w:cs="Arial"/>
                <w:b/>
                <w:bCs/>
                <w:color w:val="auto"/>
                <w:kern w:val="0"/>
                <w:sz w:val="24"/>
                <w:szCs w:val="24"/>
                <w:highlight w:val="none"/>
              </w:rPr>
            </w:pPr>
            <w:r>
              <w:rPr>
                <w:rFonts w:hint="eastAsia" w:ascii="宋体" w:hAnsi="宋体" w:eastAsia="宋体" w:cs="Arial"/>
                <w:b/>
                <w:bCs/>
                <w:color w:val="auto"/>
                <w:kern w:val="0"/>
                <w:sz w:val="24"/>
                <w:szCs w:val="24"/>
                <w:highlight w:val="none"/>
              </w:rPr>
              <w:t>货物名称</w:t>
            </w:r>
          </w:p>
        </w:tc>
        <w:tc>
          <w:tcPr>
            <w:tcW w:w="2277" w:type="pct"/>
            <w:tcBorders>
              <w:top w:val="single" w:color="auto" w:sz="4" w:space="0"/>
              <w:left w:val="nil"/>
              <w:bottom w:val="single" w:color="auto" w:sz="4" w:space="0"/>
              <w:right w:val="single" w:color="auto" w:sz="4" w:space="0"/>
            </w:tcBorders>
            <w:shd w:val="clear" w:color="auto" w:fill="FFFFFF"/>
            <w:vAlign w:val="center"/>
          </w:tcPr>
          <w:p w14:paraId="4FBF81BC">
            <w:pPr>
              <w:widowControl/>
              <w:tabs>
                <w:tab w:val="left" w:pos="420"/>
                <w:tab w:val="left" w:pos="900"/>
              </w:tabs>
              <w:jc w:val="center"/>
              <w:rPr>
                <w:rFonts w:hint="eastAsia" w:ascii="宋体" w:hAnsi="宋体" w:eastAsia="宋体" w:cs="Arial"/>
                <w:b/>
                <w:bCs/>
                <w:color w:val="auto"/>
                <w:kern w:val="0"/>
                <w:sz w:val="24"/>
                <w:szCs w:val="24"/>
                <w:highlight w:val="none"/>
              </w:rPr>
            </w:pPr>
            <w:r>
              <w:rPr>
                <w:rFonts w:hint="eastAsia" w:ascii="宋体" w:hAnsi="宋体" w:eastAsia="宋体" w:cs="Arial"/>
                <w:b/>
                <w:bCs/>
                <w:color w:val="auto"/>
                <w:kern w:val="0"/>
                <w:sz w:val="24"/>
                <w:szCs w:val="24"/>
                <w:highlight w:val="none"/>
              </w:rPr>
              <w:t>技术参数及要求</w:t>
            </w:r>
          </w:p>
        </w:tc>
        <w:tc>
          <w:tcPr>
            <w:tcW w:w="454" w:type="pct"/>
            <w:tcBorders>
              <w:top w:val="single" w:color="auto" w:sz="4" w:space="0"/>
              <w:left w:val="nil"/>
              <w:bottom w:val="single" w:color="auto" w:sz="4" w:space="0"/>
              <w:right w:val="single" w:color="auto" w:sz="4" w:space="0"/>
            </w:tcBorders>
            <w:shd w:val="clear" w:color="auto" w:fill="FFFFFF"/>
            <w:vAlign w:val="center"/>
          </w:tcPr>
          <w:p w14:paraId="23454BE3">
            <w:pPr>
              <w:widowControl/>
              <w:tabs>
                <w:tab w:val="left" w:pos="420"/>
                <w:tab w:val="left" w:pos="900"/>
              </w:tabs>
              <w:jc w:val="center"/>
              <w:rPr>
                <w:rFonts w:hint="eastAsia" w:ascii="宋体" w:hAnsi="宋体" w:eastAsia="宋体" w:cs="Arial"/>
                <w:b/>
                <w:bCs/>
                <w:color w:val="auto"/>
                <w:kern w:val="0"/>
                <w:sz w:val="24"/>
                <w:szCs w:val="24"/>
                <w:highlight w:val="none"/>
              </w:rPr>
            </w:pPr>
            <w:r>
              <w:rPr>
                <w:rFonts w:hint="eastAsia" w:ascii="宋体" w:hAnsi="宋体" w:eastAsia="宋体" w:cs="Arial"/>
                <w:b/>
                <w:bCs/>
                <w:color w:val="auto"/>
                <w:kern w:val="0"/>
                <w:sz w:val="24"/>
                <w:szCs w:val="24"/>
                <w:highlight w:val="none"/>
              </w:rPr>
              <w:t>单位</w:t>
            </w:r>
          </w:p>
        </w:tc>
        <w:tc>
          <w:tcPr>
            <w:tcW w:w="454" w:type="pct"/>
            <w:tcBorders>
              <w:top w:val="single" w:color="auto" w:sz="4" w:space="0"/>
              <w:left w:val="nil"/>
              <w:bottom w:val="single" w:color="auto" w:sz="4" w:space="0"/>
              <w:right w:val="single" w:color="auto" w:sz="4" w:space="0"/>
            </w:tcBorders>
            <w:shd w:val="clear" w:color="auto" w:fill="FFFFFF"/>
            <w:vAlign w:val="center"/>
          </w:tcPr>
          <w:p w14:paraId="4EF8EE43">
            <w:pPr>
              <w:widowControl/>
              <w:tabs>
                <w:tab w:val="left" w:pos="420"/>
                <w:tab w:val="left" w:pos="900"/>
              </w:tabs>
              <w:jc w:val="center"/>
              <w:rPr>
                <w:rFonts w:hint="eastAsia" w:ascii="宋体" w:hAnsi="宋体" w:eastAsia="宋体" w:cs="Arial"/>
                <w:b/>
                <w:bCs/>
                <w:color w:val="auto"/>
                <w:kern w:val="0"/>
                <w:sz w:val="24"/>
                <w:szCs w:val="24"/>
                <w:highlight w:val="none"/>
              </w:rPr>
            </w:pPr>
            <w:r>
              <w:rPr>
                <w:rFonts w:hint="eastAsia" w:ascii="宋体" w:hAnsi="宋体" w:eastAsia="宋体" w:cs="Arial"/>
                <w:b/>
                <w:bCs/>
                <w:color w:val="auto"/>
                <w:kern w:val="0"/>
                <w:sz w:val="24"/>
                <w:szCs w:val="24"/>
                <w:highlight w:val="none"/>
              </w:rPr>
              <w:t>采购数量</w:t>
            </w:r>
          </w:p>
        </w:tc>
        <w:tc>
          <w:tcPr>
            <w:tcW w:w="618" w:type="pct"/>
            <w:tcBorders>
              <w:top w:val="single" w:color="auto" w:sz="4" w:space="0"/>
              <w:left w:val="nil"/>
              <w:bottom w:val="single" w:color="auto" w:sz="4" w:space="0"/>
              <w:right w:val="single" w:color="auto" w:sz="4" w:space="0"/>
            </w:tcBorders>
            <w:shd w:val="clear" w:color="auto" w:fill="FFFFFF"/>
            <w:vAlign w:val="center"/>
          </w:tcPr>
          <w:p w14:paraId="57152782">
            <w:pPr>
              <w:widowControl/>
              <w:tabs>
                <w:tab w:val="left" w:pos="420"/>
                <w:tab w:val="left" w:pos="900"/>
              </w:tabs>
              <w:jc w:val="center"/>
              <w:rPr>
                <w:rFonts w:hint="eastAsia" w:ascii="宋体" w:hAnsi="宋体" w:eastAsia="宋体" w:cs="Arial"/>
                <w:b/>
                <w:bCs/>
                <w:color w:val="auto"/>
                <w:kern w:val="0"/>
                <w:sz w:val="24"/>
                <w:szCs w:val="24"/>
                <w:highlight w:val="none"/>
              </w:rPr>
            </w:pPr>
            <w:r>
              <w:rPr>
                <w:rFonts w:hint="eastAsia" w:ascii="宋体" w:hAnsi="宋体" w:eastAsia="宋体" w:cs="Arial"/>
                <w:b/>
                <w:bCs/>
                <w:color w:val="auto"/>
                <w:kern w:val="0"/>
                <w:sz w:val="24"/>
                <w:szCs w:val="24"/>
                <w:highlight w:val="none"/>
              </w:rPr>
              <w:t>是否为核心产品</w:t>
            </w:r>
          </w:p>
        </w:tc>
      </w:tr>
      <w:tr w14:paraId="3FA00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9" w:type="pct"/>
            <w:tcBorders>
              <w:top w:val="single" w:color="auto" w:sz="4" w:space="0"/>
              <w:left w:val="single" w:color="auto" w:sz="4" w:space="0"/>
              <w:bottom w:val="single" w:color="auto" w:sz="4" w:space="0"/>
              <w:right w:val="single" w:color="auto" w:sz="4" w:space="0"/>
            </w:tcBorders>
            <w:shd w:val="clear" w:color="auto" w:fill="FFFFFF"/>
            <w:vAlign w:val="center"/>
          </w:tcPr>
          <w:p w14:paraId="0BE41D80">
            <w:pPr>
              <w:widowControl/>
              <w:tabs>
                <w:tab w:val="left" w:pos="420"/>
                <w:tab w:val="left" w:pos="900"/>
              </w:tabs>
              <w:jc w:val="center"/>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w:t>
            </w:r>
          </w:p>
        </w:tc>
        <w:tc>
          <w:tcPr>
            <w:tcW w:w="846" w:type="pct"/>
            <w:tcBorders>
              <w:top w:val="single" w:color="auto" w:sz="4" w:space="0"/>
              <w:left w:val="nil"/>
              <w:bottom w:val="single" w:color="auto" w:sz="4" w:space="0"/>
              <w:right w:val="single" w:color="auto" w:sz="4" w:space="0"/>
            </w:tcBorders>
            <w:shd w:val="clear" w:color="auto" w:fill="FFFFFF"/>
            <w:vAlign w:val="center"/>
          </w:tcPr>
          <w:p w14:paraId="72E7375F">
            <w:pPr>
              <w:widowControl/>
              <w:tabs>
                <w:tab w:val="left" w:pos="900"/>
              </w:tabs>
              <w:jc w:val="center"/>
              <w:textAlignment w:val="center"/>
              <w:rPr>
                <w:rFonts w:hint="default" w:ascii="宋体" w:hAnsi="宋体" w:eastAsia="宋体" w:cs="Arial"/>
                <w:color w:val="auto"/>
                <w:kern w:val="0"/>
                <w:sz w:val="24"/>
                <w:szCs w:val="24"/>
                <w:highlight w:val="none"/>
                <w:lang w:val="en-US" w:eastAsia="zh-CN"/>
              </w:rPr>
            </w:pPr>
            <w:r>
              <w:rPr>
                <w:rFonts w:hint="eastAsia" w:ascii="宋体" w:hAnsi="宋体" w:eastAsia="宋体" w:cs="Arial"/>
                <w:color w:val="auto"/>
                <w:kern w:val="0"/>
                <w:sz w:val="24"/>
                <w:szCs w:val="24"/>
                <w:highlight w:val="none"/>
                <w:lang w:val="en-US" w:eastAsia="zh-CN"/>
              </w:rPr>
              <w:t>DSA</w:t>
            </w:r>
          </w:p>
        </w:tc>
        <w:tc>
          <w:tcPr>
            <w:tcW w:w="2277" w:type="pct"/>
            <w:tcBorders>
              <w:top w:val="single" w:color="auto" w:sz="4" w:space="0"/>
              <w:left w:val="nil"/>
              <w:bottom w:val="single" w:color="auto" w:sz="4" w:space="0"/>
              <w:right w:val="single" w:color="auto" w:sz="4" w:space="0"/>
            </w:tcBorders>
            <w:shd w:val="clear" w:color="auto" w:fill="FFFFFF"/>
            <w:vAlign w:val="center"/>
          </w:tcPr>
          <w:p w14:paraId="337708D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一、设备用途：心、脑、肿瘤、全身血管造影及介入治疗</w:t>
            </w:r>
          </w:p>
          <w:p w14:paraId="1B452D0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▲二、要求：各品牌须提供国内生产最新最高端平台机型，例如西门子提供ARTIS Phneo Master平台，飞利浦提供Azruion R2平台，GE提供Allia IGS Pulse平台，其他品牌提供不低于上述平台机型。</w:t>
            </w:r>
          </w:p>
          <w:p w14:paraId="6AC373F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三、技术要求</w:t>
            </w:r>
          </w:p>
          <w:p w14:paraId="53A0600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1、机架系统：满足心、脑、周围血管的造影和介入治疗需要</w:t>
            </w:r>
          </w:p>
          <w:p w14:paraId="2BA4ABE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w:t>
            </w:r>
            <w:r>
              <w:rPr>
                <w:rFonts w:hint="eastAsia" w:ascii="宋体" w:hAnsi="宋体" w:eastAsia="宋体" w:cs="Arial"/>
                <w:color w:val="auto"/>
                <w:kern w:val="0"/>
                <w:sz w:val="24"/>
                <w:szCs w:val="24"/>
                <w:highlight w:val="none"/>
                <w:lang w:val="en-US" w:eastAsia="zh-CN"/>
              </w:rPr>
              <w:t>.</w:t>
            </w:r>
            <w:r>
              <w:rPr>
                <w:rFonts w:hint="eastAsia" w:ascii="宋体" w:hAnsi="宋体" w:eastAsia="宋体" w:cs="Arial"/>
                <w:color w:val="auto"/>
                <w:kern w:val="0"/>
                <w:sz w:val="24"/>
                <w:szCs w:val="24"/>
                <w:highlight w:val="none"/>
              </w:rPr>
              <w:t>1悬吊式机架</w:t>
            </w:r>
          </w:p>
          <w:p w14:paraId="513E247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w:t>
            </w:r>
            <w:r>
              <w:rPr>
                <w:rFonts w:hint="eastAsia" w:ascii="宋体" w:hAnsi="宋体" w:eastAsia="宋体" w:cs="Arial"/>
                <w:color w:val="auto"/>
                <w:kern w:val="0"/>
                <w:sz w:val="24"/>
                <w:szCs w:val="24"/>
                <w:highlight w:val="none"/>
                <w:lang w:val="en-US" w:eastAsia="zh-CN"/>
              </w:rPr>
              <w:t>.</w:t>
            </w:r>
            <w:r>
              <w:rPr>
                <w:rFonts w:hint="eastAsia" w:ascii="宋体" w:hAnsi="宋体" w:eastAsia="宋体" w:cs="Arial"/>
                <w:color w:val="auto"/>
                <w:kern w:val="0"/>
                <w:sz w:val="24"/>
                <w:szCs w:val="24"/>
                <w:highlight w:val="none"/>
              </w:rPr>
              <w:t>2悬吊机架最低层高安装要求≤300cm</w:t>
            </w:r>
          </w:p>
          <w:p w14:paraId="6C9A787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w:t>
            </w:r>
            <w:r>
              <w:rPr>
                <w:rFonts w:hint="eastAsia" w:ascii="宋体" w:hAnsi="宋体" w:eastAsia="宋体" w:cs="Arial"/>
                <w:color w:val="auto"/>
                <w:kern w:val="0"/>
                <w:sz w:val="24"/>
                <w:szCs w:val="24"/>
                <w:highlight w:val="none"/>
                <w:lang w:val="en-US" w:eastAsia="zh-CN"/>
              </w:rPr>
              <w:t>.</w:t>
            </w:r>
            <w:r>
              <w:rPr>
                <w:rFonts w:hint="eastAsia" w:ascii="宋体" w:hAnsi="宋体" w:eastAsia="宋体" w:cs="Arial"/>
                <w:color w:val="auto"/>
                <w:kern w:val="0"/>
                <w:sz w:val="24"/>
                <w:szCs w:val="24"/>
                <w:highlight w:val="none"/>
              </w:rPr>
              <w:t>3机架可进行等中心旋转</w:t>
            </w:r>
          </w:p>
          <w:p w14:paraId="4F1F65B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1.</w:t>
            </w:r>
            <w:r>
              <w:rPr>
                <w:rFonts w:hint="eastAsia" w:ascii="宋体" w:hAnsi="宋体" w:eastAsia="宋体" w:cs="Arial"/>
                <w:color w:val="auto"/>
                <w:kern w:val="0"/>
                <w:sz w:val="24"/>
                <w:szCs w:val="24"/>
                <w:highlight w:val="none"/>
              </w:rPr>
              <w:t>4机架运动包括电动和手动两种方式</w:t>
            </w:r>
          </w:p>
          <w:p w14:paraId="3D7E64F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1.</w:t>
            </w:r>
            <w:r>
              <w:rPr>
                <w:rFonts w:hint="eastAsia" w:ascii="宋体" w:hAnsi="宋体" w:eastAsia="宋体" w:cs="Arial"/>
                <w:color w:val="auto"/>
                <w:kern w:val="0"/>
                <w:sz w:val="24"/>
                <w:szCs w:val="24"/>
                <w:highlight w:val="none"/>
              </w:rPr>
              <w:t>5</w:t>
            </w:r>
            <w:r>
              <w:rPr>
                <w:rFonts w:hint="eastAsia" w:ascii="宋体" w:hAnsi="宋体" w:eastAsia="宋体" w:cs="Arial"/>
                <w:color w:val="auto"/>
                <w:kern w:val="0"/>
                <w:sz w:val="24"/>
                <w:szCs w:val="24"/>
                <w:highlight w:val="none"/>
                <w:lang w:val="en-US" w:eastAsia="zh-CN"/>
              </w:rPr>
              <w:t xml:space="preserve"> </w:t>
            </w:r>
            <w:r>
              <w:rPr>
                <w:rFonts w:hint="eastAsia" w:ascii="宋体" w:hAnsi="宋体" w:eastAsia="宋体" w:cs="Arial"/>
                <w:color w:val="auto"/>
                <w:kern w:val="0"/>
                <w:sz w:val="24"/>
                <w:szCs w:val="24"/>
                <w:highlight w:val="none"/>
              </w:rPr>
              <w:t>C型臂旋转速度（非旋转采集）LAO/RAO：≥25°/秒</w:t>
            </w:r>
          </w:p>
          <w:p w14:paraId="5DBBF4D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1.</w:t>
            </w:r>
            <w:r>
              <w:rPr>
                <w:rFonts w:hint="eastAsia" w:ascii="宋体" w:hAnsi="宋体" w:eastAsia="宋体" w:cs="Arial"/>
                <w:color w:val="auto"/>
                <w:kern w:val="0"/>
                <w:sz w:val="24"/>
                <w:szCs w:val="24"/>
                <w:highlight w:val="none"/>
              </w:rPr>
              <w:t>6</w:t>
            </w:r>
            <w:r>
              <w:rPr>
                <w:rFonts w:hint="eastAsia" w:ascii="宋体" w:hAnsi="宋体" w:eastAsia="宋体" w:cs="Arial"/>
                <w:color w:val="auto"/>
                <w:kern w:val="0"/>
                <w:sz w:val="24"/>
                <w:szCs w:val="24"/>
                <w:highlight w:val="none"/>
                <w:lang w:val="en-US" w:eastAsia="zh-CN"/>
              </w:rPr>
              <w:t xml:space="preserve"> </w:t>
            </w:r>
            <w:r>
              <w:rPr>
                <w:rFonts w:hint="eastAsia" w:ascii="宋体" w:hAnsi="宋体" w:eastAsia="宋体" w:cs="Arial"/>
                <w:color w:val="auto"/>
                <w:kern w:val="0"/>
                <w:sz w:val="24"/>
                <w:szCs w:val="24"/>
                <w:highlight w:val="none"/>
              </w:rPr>
              <w:t>C型臂环内滑动速度（非旋转采集）CRAN/CAU：≥25°/秒</w:t>
            </w:r>
          </w:p>
          <w:p w14:paraId="6134B86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1.</w:t>
            </w:r>
            <w:r>
              <w:rPr>
                <w:rFonts w:hint="eastAsia" w:ascii="宋体" w:hAnsi="宋体" w:eastAsia="宋体" w:cs="Arial"/>
                <w:color w:val="auto"/>
                <w:kern w:val="0"/>
                <w:sz w:val="24"/>
                <w:szCs w:val="24"/>
                <w:highlight w:val="none"/>
              </w:rPr>
              <w:t>7</w:t>
            </w:r>
            <w:r>
              <w:rPr>
                <w:rFonts w:hint="eastAsia" w:ascii="宋体" w:hAnsi="宋体" w:eastAsia="宋体" w:cs="Arial"/>
                <w:color w:val="auto"/>
                <w:kern w:val="0"/>
                <w:sz w:val="24"/>
                <w:szCs w:val="24"/>
                <w:highlight w:val="none"/>
                <w:lang w:val="en-US" w:eastAsia="zh-CN"/>
              </w:rPr>
              <w:t xml:space="preserve"> </w:t>
            </w:r>
            <w:r>
              <w:rPr>
                <w:rFonts w:hint="eastAsia" w:ascii="宋体" w:hAnsi="宋体" w:eastAsia="宋体" w:cs="Arial"/>
                <w:color w:val="auto"/>
                <w:kern w:val="0"/>
                <w:sz w:val="24"/>
                <w:szCs w:val="24"/>
                <w:highlight w:val="none"/>
              </w:rPr>
              <w:t>CRA：≥90°</w:t>
            </w:r>
          </w:p>
          <w:p w14:paraId="74601E2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1.</w:t>
            </w:r>
            <w:r>
              <w:rPr>
                <w:rFonts w:hint="eastAsia" w:ascii="宋体" w:hAnsi="宋体" w:eastAsia="宋体" w:cs="Arial"/>
                <w:color w:val="auto"/>
                <w:kern w:val="0"/>
                <w:sz w:val="24"/>
                <w:szCs w:val="24"/>
                <w:highlight w:val="none"/>
              </w:rPr>
              <w:t>8</w:t>
            </w:r>
            <w:r>
              <w:rPr>
                <w:rFonts w:hint="eastAsia" w:ascii="宋体" w:hAnsi="宋体" w:eastAsia="宋体" w:cs="Arial"/>
                <w:color w:val="auto"/>
                <w:kern w:val="0"/>
                <w:sz w:val="24"/>
                <w:szCs w:val="24"/>
                <w:highlight w:val="none"/>
                <w:lang w:val="en-US" w:eastAsia="zh-CN"/>
              </w:rPr>
              <w:t xml:space="preserve"> </w:t>
            </w:r>
            <w:r>
              <w:rPr>
                <w:rFonts w:hint="eastAsia" w:ascii="宋体" w:hAnsi="宋体" w:eastAsia="宋体" w:cs="Arial"/>
                <w:color w:val="auto"/>
                <w:kern w:val="0"/>
                <w:sz w:val="24"/>
                <w:szCs w:val="24"/>
                <w:highlight w:val="none"/>
              </w:rPr>
              <w:t>CAU：≥90°</w:t>
            </w:r>
          </w:p>
          <w:p w14:paraId="74308CA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1.</w:t>
            </w:r>
            <w:r>
              <w:rPr>
                <w:rFonts w:hint="eastAsia" w:ascii="宋体" w:hAnsi="宋体" w:eastAsia="宋体" w:cs="Arial"/>
                <w:color w:val="auto"/>
                <w:kern w:val="0"/>
                <w:sz w:val="24"/>
                <w:szCs w:val="24"/>
                <w:highlight w:val="none"/>
              </w:rPr>
              <w:t>9</w:t>
            </w:r>
            <w:r>
              <w:rPr>
                <w:rFonts w:hint="eastAsia" w:ascii="宋体" w:hAnsi="宋体" w:eastAsia="宋体" w:cs="Arial"/>
                <w:color w:val="auto"/>
                <w:kern w:val="0"/>
                <w:sz w:val="24"/>
                <w:szCs w:val="24"/>
                <w:highlight w:val="none"/>
                <w:lang w:val="en-US" w:eastAsia="zh-CN"/>
              </w:rPr>
              <w:t xml:space="preserve"> </w:t>
            </w:r>
            <w:r>
              <w:rPr>
                <w:rFonts w:hint="eastAsia" w:ascii="宋体" w:hAnsi="宋体" w:eastAsia="宋体" w:cs="Arial"/>
                <w:color w:val="auto"/>
                <w:kern w:val="0"/>
                <w:sz w:val="24"/>
                <w:szCs w:val="24"/>
                <w:highlight w:val="none"/>
              </w:rPr>
              <w:t>RAO：≥180°</w:t>
            </w:r>
          </w:p>
          <w:p w14:paraId="477D9DA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1.</w:t>
            </w:r>
            <w:r>
              <w:rPr>
                <w:rFonts w:hint="eastAsia" w:ascii="宋体" w:hAnsi="宋体" w:eastAsia="宋体" w:cs="Arial"/>
                <w:color w:val="auto"/>
                <w:kern w:val="0"/>
                <w:sz w:val="24"/>
                <w:szCs w:val="24"/>
                <w:highlight w:val="none"/>
              </w:rPr>
              <w:t>10</w:t>
            </w:r>
            <w:r>
              <w:rPr>
                <w:rFonts w:hint="eastAsia" w:ascii="宋体" w:hAnsi="宋体" w:eastAsia="宋体" w:cs="Arial"/>
                <w:color w:val="auto"/>
                <w:kern w:val="0"/>
                <w:sz w:val="24"/>
                <w:szCs w:val="24"/>
                <w:highlight w:val="none"/>
                <w:lang w:val="en-US" w:eastAsia="zh-CN"/>
              </w:rPr>
              <w:t xml:space="preserve"> </w:t>
            </w:r>
            <w:r>
              <w:rPr>
                <w:rFonts w:hint="eastAsia" w:ascii="宋体" w:hAnsi="宋体" w:eastAsia="宋体" w:cs="Arial"/>
                <w:color w:val="auto"/>
                <w:kern w:val="0"/>
                <w:sz w:val="24"/>
                <w:szCs w:val="24"/>
                <w:highlight w:val="none"/>
              </w:rPr>
              <w:t>LAO：≥120°</w:t>
            </w:r>
          </w:p>
          <w:p w14:paraId="11C8221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1.</w:t>
            </w:r>
            <w:r>
              <w:rPr>
                <w:rFonts w:hint="eastAsia" w:ascii="宋体" w:hAnsi="宋体" w:eastAsia="宋体" w:cs="Arial"/>
                <w:color w:val="auto"/>
                <w:kern w:val="0"/>
                <w:sz w:val="24"/>
                <w:szCs w:val="24"/>
                <w:highlight w:val="none"/>
              </w:rPr>
              <w:t>11</w:t>
            </w:r>
            <w:r>
              <w:rPr>
                <w:rFonts w:hint="eastAsia" w:ascii="宋体" w:hAnsi="宋体" w:eastAsia="宋体" w:cs="Arial"/>
                <w:color w:val="auto"/>
                <w:kern w:val="0"/>
                <w:sz w:val="24"/>
                <w:szCs w:val="24"/>
                <w:highlight w:val="none"/>
                <w:lang w:val="en-US" w:eastAsia="zh-CN"/>
              </w:rPr>
              <w:t xml:space="preserve"> </w:t>
            </w:r>
            <w:r>
              <w:rPr>
                <w:rFonts w:hint="eastAsia" w:ascii="宋体" w:hAnsi="宋体" w:eastAsia="宋体" w:cs="Arial"/>
                <w:color w:val="auto"/>
                <w:kern w:val="0"/>
                <w:sz w:val="24"/>
                <w:szCs w:val="24"/>
                <w:highlight w:val="none"/>
              </w:rPr>
              <w:t>C臂旋转范围≥305°</w:t>
            </w:r>
          </w:p>
          <w:p w14:paraId="013A1C0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1.</w:t>
            </w:r>
            <w:r>
              <w:rPr>
                <w:rFonts w:hint="eastAsia" w:ascii="宋体" w:hAnsi="宋体" w:eastAsia="宋体" w:cs="Arial"/>
                <w:color w:val="auto"/>
                <w:kern w:val="0"/>
                <w:sz w:val="24"/>
                <w:szCs w:val="24"/>
                <w:highlight w:val="none"/>
              </w:rPr>
              <w:t>12床旁可以单手柄控制、操作C型臂机架的运动</w:t>
            </w:r>
          </w:p>
          <w:p w14:paraId="02EFE9C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1.</w:t>
            </w:r>
            <w:r>
              <w:rPr>
                <w:rFonts w:hint="eastAsia" w:ascii="宋体" w:hAnsi="宋体" w:eastAsia="宋体" w:cs="Arial"/>
                <w:color w:val="auto"/>
                <w:kern w:val="0"/>
                <w:sz w:val="24"/>
                <w:szCs w:val="24"/>
                <w:highlight w:val="none"/>
              </w:rPr>
              <w:t>13</w:t>
            </w:r>
            <w:r>
              <w:rPr>
                <w:rFonts w:hint="eastAsia" w:ascii="宋体" w:hAnsi="宋体" w:eastAsia="宋体" w:cs="Arial"/>
                <w:color w:val="auto"/>
                <w:kern w:val="0"/>
                <w:sz w:val="24"/>
                <w:szCs w:val="24"/>
                <w:highlight w:val="none"/>
                <w:lang w:val="en-US" w:eastAsia="zh-CN"/>
              </w:rPr>
              <w:t xml:space="preserve"> </w:t>
            </w:r>
            <w:r>
              <w:rPr>
                <w:rFonts w:hint="eastAsia" w:ascii="宋体" w:hAnsi="宋体" w:eastAsia="宋体" w:cs="Arial"/>
                <w:color w:val="auto"/>
                <w:kern w:val="0"/>
                <w:sz w:val="24"/>
                <w:szCs w:val="24"/>
                <w:highlight w:val="none"/>
              </w:rPr>
              <w:t>C臂的旋转角度：C臂检查摆位无死角，C臂旋转至任何角度均可投照</w:t>
            </w:r>
          </w:p>
          <w:p w14:paraId="25EAA31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1.</w:t>
            </w:r>
            <w:r>
              <w:rPr>
                <w:rFonts w:hint="eastAsia" w:ascii="宋体" w:hAnsi="宋体" w:eastAsia="宋体" w:cs="Arial"/>
                <w:color w:val="auto"/>
                <w:kern w:val="0"/>
                <w:sz w:val="24"/>
                <w:szCs w:val="24"/>
                <w:highlight w:val="none"/>
              </w:rPr>
              <w:t>14数码显示所有C型臂旋转角度信息</w:t>
            </w:r>
          </w:p>
          <w:p w14:paraId="4CF45AC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1.</w:t>
            </w:r>
            <w:r>
              <w:rPr>
                <w:rFonts w:hint="eastAsia" w:ascii="宋体" w:hAnsi="宋体" w:eastAsia="宋体" w:cs="Arial"/>
                <w:color w:val="auto"/>
                <w:kern w:val="0"/>
                <w:sz w:val="24"/>
                <w:szCs w:val="24"/>
                <w:highlight w:val="none"/>
              </w:rPr>
              <w:t>15机架（L臂）可移出手术野，L臂移动范围：≥260 cm</w:t>
            </w:r>
          </w:p>
          <w:p w14:paraId="631A766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1.</w:t>
            </w:r>
            <w:r>
              <w:rPr>
                <w:rFonts w:hint="eastAsia" w:ascii="宋体" w:hAnsi="宋体" w:eastAsia="宋体" w:cs="Arial"/>
                <w:color w:val="auto"/>
                <w:kern w:val="0"/>
                <w:sz w:val="24"/>
                <w:szCs w:val="24"/>
                <w:highlight w:val="none"/>
              </w:rPr>
              <w:t>16L臂电动速度：≥15cm/s</w:t>
            </w:r>
          </w:p>
          <w:p w14:paraId="7F5344D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1.</w:t>
            </w:r>
            <w:r>
              <w:rPr>
                <w:rFonts w:hint="eastAsia" w:ascii="宋体" w:hAnsi="宋体" w:eastAsia="宋体" w:cs="Arial"/>
                <w:color w:val="auto"/>
                <w:kern w:val="0"/>
                <w:sz w:val="24"/>
                <w:szCs w:val="24"/>
                <w:highlight w:val="none"/>
              </w:rPr>
              <w:t>17C型臂弧深：≥90cm （不包括L臂补偿）</w:t>
            </w:r>
          </w:p>
          <w:p w14:paraId="2EAC9B4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1.</w:t>
            </w:r>
            <w:r>
              <w:rPr>
                <w:rFonts w:hint="eastAsia" w:ascii="宋体" w:hAnsi="宋体" w:eastAsia="宋体" w:cs="Arial"/>
                <w:color w:val="auto"/>
                <w:kern w:val="0"/>
                <w:sz w:val="24"/>
                <w:szCs w:val="24"/>
                <w:highlight w:val="none"/>
              </w:rPr>
              <w:t>18机架可分别在头位、左侧位、右侧位进行透视和采集</w:t>
            </w:r>
          </w:p>
          <w:p w14:paraId="11295FE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1.</w:t>
            </w:r>
            <w:r>
              <w:rPr>
                <w:rFonts w:hint="eastAsia" w:ascii="宋体" w:hAnsi="宋体" w:eastAsia="宋体" w:cs="Arial"/>
                <w:color w:val="auto"/>
                <w:kern w:val="0"/>
                <w:sz w:val="24"/>
                <w:szCs w:val="24"/>
                <w:highlight w:val="none"/>
              </w:rPr>
              <w:t>19等中心到地面距离：≤107cm</w:t>
            </w:r>
          </w:p>
          <w:p w14:paraId="6B3A5F7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1.</w:t>
            </w:r>
            <w:r>
              <w:rPr>
                <w:rFonts w:hint="eastAsia" w:ascii="宋体" w:hAnsi="宋体" w:eastAsia="宋体" w:cs="Arial"/>
                <w:color w:val="auto"/>
                <w:kern w:val="0"/>
                <w:sz w:val="24"/>
                <w:szCs w:val="24"/>
                <w:highlight w:val="none"/>
              </w:rPr>
              <w:t>20等中心到焦点距离：≥80cm</w:t>
            </w:r>
          </w:p>
          <w:p w14:paraId="2F66A8F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1.</w:t>
            </w:r>
            <w:r>
              <w:rPr>
                <w:rFonts w:hint="eastAsia" w:ascii="宋体" w:hAnsi="宋体" w:eastAsia="宋体" w:cs="Arial"/>
                <w:color w:val="auto"/>
                <w:kern w:val="0"/>
                <w:sz w:val="24"/>
                <w:szCs w:val="24"/>
                <w:highlight w:val="none"/>
              </w:rPr>
              <w:t>21SID范围：89.5cm-119.5cm</w:t>
            </w:r>
          </w:p>
          <w:p w14:paraId="03796AF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2、导管床</w:t>
            </w:r>
          </w:p>
          <w:p w14:paraId="3D5AA0A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2.</w:t>
            </w:r>
            <w:r>
              <w:rPr>
                <w:rFonts w:hint="eastAsia" w:ascii="宋体" w:hAnsi="宋体" w:eastAsia="宋体" w:cs="Arial"/>
                <w:color w:val="auto"/>
                <w:kern w:val="0"/>
                <w:sz w:val="24"/>
                <w:szCs w:val="24"/>
                <w:highlight w:val="none"/>
              </w:rPr>
              <w:t>1满足全身检查、治疗的要求</w:t>
            </w:r>
          </w:p>
          <w:p w14:paraId="6F9EFD6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2.</w:t>
            </w:r>
            <w:r>
              <w:rPr>
                <w:rFonts w:hint="eastAsia" w:ascii="宋体" w:hAnsi="宋体" w:eastAsia="宋体" w:cs="Arial"/>
                <w:color w:val="auto"/>
                <w:kern w:val="0"/>
                <w:sz w:val="24"/>
                <w:szCs w:val="24"/>
                <w:highlight w:val="none"/>
              </w:rPr>
              <w:t>2床面要求为碳纤维材料</w:t>
            </w:r>
          </w:p>
          <w:p w14:paraId="3C165B7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2.</w:t>
            </w:r>
            <w:r>
              <w:rPr>
                <w:rFonts w:hint="eastAsia" w:ascii="宋体" w:hAnsi="宋体" w:eastAsia="宋体" w:cs="Arial"/>
                <w:color w:val="auto"/>
                <w:kern w:val="0"/>
                <w:sz w:val="24"/>
                <w:szCs w:val="24"/>
                <w:highlight w:val="none"/>
              </w:rPr>
              <w:t>3纵向运动范围：≥120cm</w:t>
            </w:r>
          </w:p>
          <w:p w14:paraId="6970B5E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2.</w:t>
            </w:r>
            <w:r>
              <w:rPr>
                <w:rFonts w:hint="eastAsia" w:ascii="宋体" w:hAnsi="宋体" w:eastAsia="宋体" w:cs="Arial"/>
                <w:color w:val="auto"/>
                <w:kern w:val="0"/>
                <w:sz w:val="24"/>
                <w:szCs w:val="24"/>
                <w:highlight w:val="none"/>
              </w:rPr>
              <w:t>4导管床横向运动：≥36cm</w:t>
            </w:r>
          </w:p>
          <w:p w14:paraId="3A08827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2.</w:t>
            </w:r>
            <w:r>
              <w:rPr>
                <w:rFonts w:hint="eastAsia" w:ascii="宋体" w:hAnsi="宋体" w:eastAsia="宋体" w:cs="Arial"/>
                <w:color w:val="auto"/>
                <w:kern w:val="0"/>
                <w:sz w:val="24"/>
                <w:szCs w:val="24"/>
                <w:highlight w:val="none"/>
              </w:rPr>
              <w:t>5床面升降范围：≥28cm</w:t>
            </w:r>
          </w:p>
          <w:p w14:paraId="2BA67FE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2.</w:t>
            </w:r>
            <w:r>
              <w:rPr>
                <w:rFonts w:hint="eastAsia" w:ascii="宋体" w:hAnsi="宋体" w:eastAsia="宋体" w:cs="Arial"/>
                <w:color w:val="auto"/>
                <w:kern w:val="0"/>
                <w:sz w:val="24"/>
                <w:szCs w:val="24"/>
                <w:highlight w:val="none"/>
              </w:rPr>
              <w:t>6床面最低高度：≤76cm</w:t>
            </w:r>
          </w:p>
          <w:p w14:paraId="56BBBCD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2.</w:t>
            </w:r>
            <w:r>
              <w:rPr>
                <w:rFonts w:hint="eastAsia" w:ascii="宋体" w:hAnsi="宋体" w:eastAsia="宋体" w:cs="Arial"/>
                <w:color w:val="auto"/>
                <w:kern w:val="0"/>
                <w:sz w:val="24"/>
                <w:szCs w:val="24"/>
                <w:highlight w:val="none"/>
              </w:rPr>
              <w:t>7床最大承重：≥323KG</w:t>
            </w:r>
          </w:p>
          <w:p w14:paraId="71BF015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2.</w:t>
            </w:r>
            <w:r>
              <w:rPr>
                <w:rFonts w:hint="eastAsia" w:ascii="宋体" w:hAnsi="宋体" w:eastAsia="宋体" w:cs="Arial"/>
                <w:color w:val="auto"/>
                <w:kern w:val="0"/>
                <w:sz w:val="24"/>
                <w:szCs w:val="24"/>
                <w:highlight w:val="none"/>
              </w:rPr>
              <w:t>8任意位置承重：≥250KG + 500N额外CPR承重</w:t>
            </w:r>
          </w:p>
          <w:p w14:paraId="794D0A7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2.</w:t>
            </w:r>
            <w:r>
              <w:rPr>
                <w:rFonts w:hint="eastAsia" w:ascii="宋体" w:hAnsi="宋体" w:eastAsia="宋体" w:cs="Arial"/>
                <w:color w:val="auto"/>
                <w:kern w:val="0"/>
                <w:sz w:val="24"/>
                <w:szCs w:val="24"/>
                <w:highlight w:val="none"/>
              </w:rPr>
              <w:t>9床身纵向运动伸出最远端时，无需回床即能在床面任意位置进行CPR，保障紧急情况下的安全</w:t>
            </w:r>
          </w:p>
          <w:p w14:paraId="47A6C11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2.</w:t>
            </w:r>
            <w:r>
              <w:rPr>
                <w:rFonts w:hint="eastAsia" w:ascii="宋体" w:hAnsi="宋体" w:eastAsia="宋体" w:cs="Arial"/>
                <w:color w:val="auto"/>
                <w:kern w:val="0"/>
                <w:sz w:val="24"/>
                <w:szCs w:val="24"/>
                <w:highlight w:val="none"/>
              </w:rPr>
              <w:t>10床长度：≥318cm</w:t>
            </w:r>
          </w:p>
          <w:p w14:paraId="15FA3D4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2.</w:t>
            </w:r>
            <w:r>
              <w:rPr>
                <w:rFonts w:hint="eastAsia" w:ascii="宋体" w:hAnsi="宋体" w:eastAsia="宋体" w:cs="Arial"/>
                <w:color w:val="auto"/>
                <w:kern w:val="0"/>
                <w:sz w:val="24"/>
                <w:szCs w:val="24"/>
                <w:highlight w:val="none"/>
              </w:rPr>
              <w:t>11床宽度：≥50cm</w:t>
            </w:r>
          </w:p>
          <w:p w14:paraId="46193C3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2.</w:t>
            </w:r>
            <w:r>
              <w:rPr>
                <w:rFonts w:hint="eastAsia" w:ascii="宋体" w:hAnsi="宋体" w:eastAsia="宋体" w:cs="Arial"/>
                <w:color w:val="auto"/>
                <w:kern w:val="0"/>
                <w:sz w:val="24"/>
                <w:szCs w:val="24"/>
                <w:highlight w:val="none"/>
              </w:rPr>
              <w:t>12床面患者最大有效覆盖：≥210cm</w:t>
            </w:r>
          </w:p>
          <w:p w14:paraId="7B6F9C8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w:t>
            </w:r>
            <w:r>
              <w:rPr>
                <w:rFonts w:hint="eastAsia" w:ascii="宋体" w:hAnsi="宋体" w:eastAsia="宋体" w:cs="Arial"/>
                <w:color w:val="auto"/>
                <w:kern w:val="0"/>
                <w:sz w:val="24"/>
                <w:szCs w:val="24"/>
                <w:highlight w:val="none"/>
                <w:lang w:eastAsia="zh-CN"/>
              </w:rPr>
              <w:t>2.</w:t>
            </w:r>
            <w:r>
              <w:rPr>
                <w:rFonts w:hint="eastAsia" w:ascii="宋体" w:hAnsi="宋体" w:eastAsia="宋体" w:cs="Arial"/>
                <w:color w:val="auto"/>
                <w:kern w:val="0"/>
                <w:sz w:val="24"/>
                <w:szCs w:val="24"/>
                <w:highlight w:val="none"/>
              </w:rPr>
              <w:t>13床面旋转角度：≥270度</w:t>
            </w:r>
          </w:p>
          <w:p w14:paraId="0C7F41D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2.14床面可沿单方向旋转≥180度</w:t>
            </w:r>
          </w:p>
          <w:p w14:paraId="1E98108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2.</w:t>
            </w:r>
            <w:r>
              <w:rPr>
                <w:rFonts w:hint="eastAsia" w:ascii="宋体" w:hAnsi="宋体" w:eastAsia="宋体" w:cs="Arial"/>
                <w:color w:val="auto"/>
                <w:kern w:val="0"/>
                <w:sz w:val="24"/>
                <w:szCs w:val="24"/>
                <w:highlight w:val="none"/>
              </w:rPr>
              <w:t>15导管床床垫、轨道夹、输液架、病人绑带以及线缆拖</w:t>
            </w:r>
          </w:p>
          <w:p w14:paraId="6B9C762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2.</w:t>
            </w:r>
            <w:r>
              <w:rPr>
                <w:rFonts w:hint="eastAsia" w:ascii="宋体" w:hAnsi="宋体" w:eastAsia="宋体" w:cs="Arial"/>
                <w:color w:val="auto"/>
                <w:kern w:val="0"/>
                <w:sz w:val="24"/>
                <w:szCs w:val="24"/>
                <w:highlight w:val="none"/>
              </w:rPr>
              <w:t>16床面上下运动速度：≥30mm/S</w:t>
            </w:r>
          </w:p>
          <w:p w14:paraId="356C9E9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3检查室内控制系统</w:t>
            </w:r>
          </w:p>
          <w:p w14:paraId="0A849F0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3.1床旁液晶触摸屏控制系统</w:t>
            </w:r>
          </w:p>
          <w:p w14:paraId="5E92E9B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3.1.1提供床旁一套液晶触摸控制屏</w:t>
            </w:r>
          </w:p>
          <w:p w14:paraId="2DCE5A0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3.1.2控制屏可置于导管床3边，或者控制室内</w:t>
            </w:r>
          </w:p>
          <w:p w14:paraId="1625094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3.1.3可进行图像采集条件控制</w:t>
            </w:r>
          </w:p>
          <w:p w14:paraId="4F657B3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3.1.4床旁液晶触摸控制屏具备防液体功能</w:t>
            </w:r>
          </w:p>
          <w:p w14:paraId="03434E0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3.1.5床旁液晶触摸屏控制系统具备中文操作界面</w:t>
            </w:r>
          </w:p>
          <w:p w14:paraId="059F7EF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3.1.6可转换为指针功能，用于控制室和检查室交流</w:t>
            </w:r>
          </w:p>
          <w:p w14:paraId="0F7025C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3．1.7床和机架锁定控制</w:t>
            </w:r>
          </w:p>
          <w:p w14:paraId="21D8EAB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3．1.8</w:t>
            </w:r>
            <w:r>
              <w:rPr>
                <w:rFonts w:hint="eastAsia" w:ascii="宋体" w:hAnsi="宋体" w:eastAsia="宋体" w:cs="Arial"/>
                <w:color w:val="auto"/>
                <w:kern w:val="0"/>
                <w:sz w:val="24"/>
                <w:szCs w:val="24"/>
                <w:highlight w:val="none"/>
                <w:lang w:val="en-US" w:eastAsia="zh-CN"/>
              </w:rPr>
              <w:t xml:space="preserve"> </w:t>
            </w:r>
            <w:r>
              <w:rPr>
                <w:rFonts w:hint="eastAsia" w:ascii="宋体" w:hAnsi="宋体" w:eastAsia="宋体" w:cs="Arial"/>
                <w:color w:val="auto"/>
                <w:kern w:val="0"/>
                <w:sz w:val="24"/>
                <w:szCs w:val="24"/>
                <w:highlight w:val="none"/>
              </w:rPr>
              <w:t>X线的使能控制</w:t>
            </w:r>
          </w:p>
          <w:p w14:paraId="6A1BEDA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3．1.9透视蜂鸣器复位</w:t>
            </w:r>
          </w:p>
          <w:p w14:paraId="21F4B89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3．1.10秒表</w:t>
            </w:r>
          </w:p>
          <w:p w14:paraId="0DD9C80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3．1.11透视存储</w:t>
            </w:r>
          </w:p>
          <w:p w14:paraId="1C38C05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3．1.12清洁模式</w:t>
            </w:r>
          </w:p>
          <w:p w14:paraId="2F9DA8D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3.1.13可完成手术程序操作，包括采集协议</w:t>
            </w:r>
          </w:p>
          <w:p w14:paraId="36BE740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3.1.14可自行定义和存储手术协议</w:t>
            </w:r>
          </w:p>
          <w:p w14:paraId="30EFD5D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3.1.15包括常用协议，默认协议，和特殊协议方便用户选择</w:t>
            </w:r>
          </w:p>
          <w:p w14:paraId="2A87F41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3.1.16可导入检查过程清单，帮助医生有序高效的完成检查</w:t>
            </w:r>
          </w:p>
          <w:p w14:paraId="65E5219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3.1.17可导入产品说明书</w:t>
            </w:r>
          </w:p>
          <w:p w14:paraId="720E0B8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3.2、遥控器功能</w:t>
            </w:r>
          </w:p>
          <w:p w14:paraId="4CFFF1A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3.2.1序列选择和图像选择</w:t>
            </w:r>
          </w:p>
          <w:p w14:paraId="104E02D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3.2.2检查循环播放和序列循环播放</w:t>
            </w:r>
          </w:p>
          <w:p w14:paraId="4F0B789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3.2.3浏览速度</w:t>
            </w:r>
          </w:p>
          <w:p w14:paraId="4EF8E03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3.2.4序列纵览和检查纵览</w:t>
            </w:r>
          </w:p>
          <w:p w14:paraId="52D0A2C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3.2.5激光灯指示</w:t>
            </w:r>
          </w:p>
          <w:p w14:paraId="1F6FEE5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3.2.6检查和序列的标记，用于存储</w:t>
            </w:r>
          </w:p>
          <w:p w14:paraId="13053A7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3.2.7选择参考图像并调用</w:t>
            </w:r>
          </w:p>
          <w:p w14:paraId="066162A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3.2.8参考屏图像浏览和采集序列处理</w:t>
            </w:r>
          </w:p>
          <w:p w14:paraId="4C48554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3.2.9减影和蒙片选择</w:t>
            </w:r>
          </w:p>
          <w:p w14:paraId="2640F20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4、控制室多点云工作平台</w:t>
            </w:r>
          </w:p>
          <w:p w14:paraId="1F7B637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4.1透视或曝光时可进行图像处理和存档浏览等工作，可独立运行</w:t>
            </w:r>
          </w:p>
          <w:p w14:paraId="004CDFF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4.2术中可执行像素位移和测量分析功能</w:t>
            </w:r>
          </w:p>
          <w:p w14:paraId="69839FB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4.3可同时浏览两个序列</w:t>
            </w:r>
          </w:p>
          <w:p w14:paraId="683AE65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4.4可同时处理不同病人的信息</w:t>
            </w:r>
          </w:p>
          <w:p w14:paraId="00EC5ED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4.5可在术中准备下一个病人的信息输入</w:t>
            </w:r>
          </w:p>
          <w:p w14:paraId="2F04346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4.6可在术中可进行上一个病人的报告编写</w:t>
            </w:r>
          </w:p>
          <w:p w14:paraId="190F626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4.7进行QCA后，可立即与检查室同步屏幕</w:t>
            </w:r>
          </w:p>
          <w:p w14:paraId="15E3CB0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4.8控制室图像编辑不被手术室透视图像打断</w:t>
            </w:r>
          </w:p>
          <w:p w14:paraId="207C169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4.9手术室曝光透视不影响控制室图像编辑页面</w:t>
            </w:r>
          </w:p>
          <w:p w14:paraId="59FFAFB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4.10具备中文操作界面</w:t>
            </w:r>
          </w:p>
          <w:p w14:paraId="27F0253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5、高压发生器</w:t>
            </w:r>
          </w:p>
          <w:p w14:paraId="0340F58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w:t>
            </w:r>
            <w:r>
              <w:rPr>
                <w:rFonts w:hint="eastAsia" w:ascii="宋体" w:hAnsi="宋体" w:eastAsia="宋体" w:cs="Arial"/>
                <w:color w:val="auto"/>
                <w:kern w:val="0"/>
                <w:sz w:val="24"/>
                <w:szCs w:val="24"/>
                <w:highlight w:val="none"/>
                <w:lang w:eastAsia="zh-CN"/>
              </w:rPr>
              <w:t>5.</w:t>
            </w:r>
            <w:r>
              <w:rPr>
                <w:rFonts w:hint="eastAsia" w:ascii="宋体" w:hAnsi="宋体" w:eastAsia="宋体" w:cs="Arial"/>
                <w:color w:val="auto"/>
                <w:kern w:val="0"/>
                <w:sz w:val="24"/>
                <w:szCs w:val="24"/>
                <w:highlight w:val="none"/>
              </w:rPr>
              <w:t>1高频逆变发生器，功率：≥100KW</w:t>
            </w:r>
          </w:p>
          <w:p w14:paraId="1AE57DF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5.</w:t>
            </w:r>
            <w:r>
              <w:rPr>
                <w:rFonts w:hint="eastAsia" w:ascii="宋体" w:hAnsi="宋体" w:eastAsia="宋体" w:cs="Arial"/>
                <w:color w:val="auto"/>
                <w:kern w:val="0"/>
                <w:sz w:val="24"/>
                <w:szCs w:val="24"/>
                <w:highlight w:val="none"/>
              </w:rPr>
              <w:t>2最大管电流：≥1000mA</w:t>
            </w:r>
          </w:p>
          <w:p w14:paraId="35C4E8D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5.</w:t>
            </w:r>
            <w:r>
              <w:rPr>
                <w:rFonts w:hint="eastAsia" w:ascii="宋体" w:hAnsi="宋体" w:eastAsia="宋体" w:cs="Arial"/>
                <w:color w:val="auto"/>
                <w:kern w:val="0"/>
                <w:sz w:val="24"/>
                <w:szCs w:val="24"/>
                <w:highlight w:val="none"/>
              </w:rPr>
              <w:t>3逆变频率：≥100kHZ</w:t>
            </w:r>
          </w:p>
          <w:p w14:paraId="57A2AAD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5.</w:t>
            </w:r>
            <w:r>
              <w:rPr>
                <w:rFonts w:hint="eastAsia" w:ascii="宋体" w:hAnsi="宋体" w:eastAsia="宋体" w:cs="Arial"/>
                <w:color w:val="auto"/>
                <w:kern w:val="0"/>
                <w:sz w:val="24"/>
                <w:szCs w:val="24"/>
                <w:highlight w:val="none"/>
              </w:rPr>
              <w:t>4最小管电压：≤40KV</w:t>
            </w:r>
          </w:p>
          <w:p w14:paraId="1349FC6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5.</w:t>
            </w:r>
            <w:r>
              <w:rPr>
                <w:rFonts w:hint="eastAsia" w:ascii="宋体" w:hAnsi="宋体" w:eastAsia="宋体" w:cs="Arial"/>
                <w:color w:val="auto"/>
                <w:kern w:val="0"/>
                <w:sz w:val="24"/>
                <w:szCs w:val="24"/>
                <w:highlight w:val="none"/>
              </w:rPr>
              <w:t>5最大管电压：≥125KV</w:t>
            </w:r>
          </w:p>
          <w:p w14:paraId="518C0F6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5.</w:t>
            </w:r>
            <w:r>
              <w:rPr>
                <w:rFonts w:hint="eastAsia" w:ascii="宋体" w:hAnsi="宋体" w:eastAsia="宋体" w:cs="Arial"/>
                <w:color w:val="auto"/>
                <w:kern w:val="0"/>
                <w:sz w:val="24"/>
                <w:szCs w:val="24"/>
                <w:highlight w:val="none"/>
              </w:rPr>
              <w:t>6最短曝光时间：≤1ms</w:t>
            </w:r>
          </w:p>
          <w:p w14:paraId="28DF1E5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5.</w:t>
            </w:r>
            <w:r>
              <w:rPr>
                <w:rFonts w:hint="eastAsia" w:ascii="宋体" w:hAnsi="宋体" w:eastAsia="宋体" w:cs="Arial"/>
                <w:color w:val="auto"/>
                <w:kern w:val="0"/>
                <w:sz w:val="24"/>
                <w:szCs w:val="24"/>
                <w:highlight w:val="none"/>
              </w:rPr>
              <w:t>7自动SID跟踪</w:t>
            </w:r>
          </w:p>
          <w:p w14:paraId="44CB5E6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5.</w:t>
            </w:r>
            <w:r>
              <w:rPr>
                <w:rFonts w:hint="eastAsia" w:ascii="宋体" w:hAnsi="宋体" w:eastAsia="宋体" w:cs="Arial"/>
                <w:color w:val="auto"/>
                <w:kern w:val="0"/>
                <w:sz w:val="24"/>
                <w:szCs w:val="24"/>
                <w:highlight w:val="none"/>
              </w:rPr>
              <w:t>8全自动曝光控制，无需测试曝光</w:t>
            </w:r>
          </w:p>
          <w:p w14:paraId="75B2F9B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6、X线球管</w:t>
            </w:r>
          </w:p>
          <w:p w14:paraId="404DF44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w:t>
            </w:r>
            <w:r>
              <w:rPr>
                <w:rFonts w:hint="eastAsia" w:ascii="宋体" w:hAnsi="宋体" w:eastAsia="宋体" w:cs="Arial"/>
                <w:color w:val="auto"/>
                <w:kern w:val="0"/>
                <w:sz w:val="24"/>
                <w:szCs w:val="24"/>
                <w:highlight w:val="none"/>
                <w:lang w:eastAsia="zh-CN"/>
              </w:rPr>
              <w:t>6.</w:t>
            </w:r>
            <w:r>
              <w:rPr>
                <w:rFonts w:hint="eastAsia" w:ascii="宋体" w:hAnsi="宋体" w:eastAsia="宋体" w:cs="Arial"/>
                <w:color w:val="auto"/>
                <w:kern w:val="0"/>
                <w:sz w:val="24"/>
                <w:szCs w:val="24"/>
                <w:highlight w:val="none"/>
              </w:rPr>
              <w:t>1球管阳极热容量：≥5.0MHU</w:t>
            </w:r>
          </w:p>
          <w:p w14:paraId="7D59093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w:t>
            </w:r>
            <w:r>
              <w:rPr>
                <w:rFonts w:hint="eastAsia" w:ascii="宋体" w:hAnsi="宋体" w:eastAsia="宋体" w:cs="Arial"/>
                <w:color w:val="auto"/>
                <w:kern w:val="0"/>
                <w:sz w:val="24"/>
                <w:szCs w:val="24"/>
                <w:highlight w:val="none"/>
                <w:lang w:eastAsia="zh-CN"/>
              </w:rPr>
              <w:t>6.</w:t>
            </w:r>
            <w:r>
              <w:rPr>
                <w:rFonts w:hint="eastAsia" w:ascii="宋体" w:hAnsi="宋体" w:eastAsia="宋体" w:cs="Arial"/>
                <w:color w:val="auto"/>
                <w:kern w:val="0"/>
                <w:sz w:val="24"/>
                <w:szCs w:val="24"/>
                <w:highlight w:val="none"/>
              </w:rPr>
              <w:t>2球管管套热容量：≥7.0MHU</w:t>
            </w:r>
          </w:p>
          <w:p w14:paraId="4CF7E41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6.</w:t>
            </w:r>
            <w:r>
              <w:rPr>
                <w:rFonts w:hint="eastAsia" w:ascii="宋体" w:hAnsi="宋体" w:eastAsia="宋体" w:cs="Arial"/>
                <w:color w:val="auto"/>
                <w:kern w:val="0"/>
                <w:sz w:val="24"/>
                <w:szCs w:val="24"/>
                <w:highlight w:val="none"/>
              </w:rPr>
              <w:t>3最大阳极冷却速率：≥1100kHU/min</w:t>
            </w:r>
          </w:p>
          <w:p w14:paraId="1510ADE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w:t>
            </w:r>
            <w:r>
              <w:rPr>
                <w:rFonts w:hint="eastAsia" w:ascii="宋体" w:hAnsi="宋体" w:eastAsia="宋体" w:cs="Arial"/>
                <w:color w:val="auto"/>
                <w:kern w:val="0"/>
                <w:sz w:val="24"/>
                <w:szCs w:val="24"/>
                <w:highlight w:val="none"/>
                <w:lang w:eastAsia="zh-CN"/>
              </w:rPr>
              <w:t>6.</w:t>
            </w:r>
            <w:r>
              <w:rPr>
                <w:rFonts w:hint="eastAsia" w:ascii="宋体" w:hAnsi="宋体" w:eastAsia="宋体" w:cs="Arial"/>
                <w:color w:val="auto"/>
                <w:kern w:val="0"/>
                <w:sz w:val="24"/>
                <w:szCs w:val="24"/>
                <w:highlight w:val="none"/>
              </w:rPr>
              <w:t>4球管阳极散热率：≥13000 W</w:t>
            </w:r>
          </w:p>
          <w:p w14:paraId="455B2D4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6.</w:t>
            </w:r>
            <w:r>
              <w:rPr>
                <w:rFonts w:hint="eastAsia" w:ascii="宋体" w:hAnsi="宋体" w:eastAsia="宋体" w:cs="Arial"/>
                <w:color w:val="auto"/>
                <w:kern w:val="0"/>
                <w:sz w:val="24"/>
                <w:szCs w:val="24"/>
                <w:highlight w:val="none"/>
              </w:rPr>
              <w:t>5金属陶瓷外壳</w:t>
            </w:r>
          </w:p>
          <w:p w14:paraId="7AE88FC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6.</w:t>
            </w:r>
            <w:r>
              <w:rPr>
                <w:rFonts w:hint="eastAsia" w:ascii="宋体" w:hAnsi="宋体" w:eastAsia="宋体" w:cs="Arial"/>
                <w:color w:val="auto"/>
                <w:kern w:val="0"/>
                <w:sz w:val="24"/>
                <w:szCs w:val="24"/>
                <w:highlight w:val="none"/>
              </w:rPr>
              <w:t>6液态金属轴承球管</w:t>
            </w:r>
          </w:p>
          <w:p w14:paraId="2234DD5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6.</w:t>
            </w:r>
            <w:r>
              <w:rPr>
                <w:rFonts w:hint="eastAsia" w:ascii="宋体" w:hAnsi="宋体" w:eastAsia="宋体" w:cs="Arial"/>
                <w:color w:val="auto"/>
                <w:kern w:val="0"/>
                <w:sz w:val="24"/>
                <w:szCs w:val="24"/>
                <w:highlight w:val="none"/>
              </w:rPr>
              <w:t>7透视功率：≥4500W</w:t>
            </w:r>
          </w:p>
          <w:p w14:paraId="2CB70CA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6.</w:t>
            </w:r>
            <w:r>
              <w:rPr>
                <w:rFonts w:hint="eastAsia" w:ascii="宋体" w:hAnsi="宋体" w:eastAsia="宋体" w:cs="Arial"/>
                <w:color w:val="auto"/>
                <w:kern w:val="0"/>
                <w:sz w:val="24"/>
                <w:szCs w:val="24"/>
                <w:highlight w:val="none"/>
              </w:rPr>
              <w:t>8透视管电流：≥160mA</w:t>
            </w:r>
          </w:p>
          <w:p w14:paraId="6E03E81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6.</w:t>
            </w:r>
            <w:r>
              <w:rPr>
                <w:rFonts w:hint="eastAsia" w:ascii="宋体" w:hAnsi="宋体" w:eastAsia="宋体" w:cs="Arial"/>
                <w:color w:val="auto"/>
                <w:kern w:val="0"/>
                <w:sz w:val="24"/>
                <w:szCs w:val="24"/>
                <w:highlight w:val="none"/>
              </w:rPr>
              <w:t>9球管阳极转速：≥4200转/分钟</w:t>
            </w:r>
          </w:p>
          <w:p w14:paraId="36A80A0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6.</w:t>
            </w:r>
            <w:r>
              <w:rPr>
                <w:rFonts w:hint="eastAsia" w:ascii="宋体" w:hAnsi="宋体" w:eastAsia="宋体" w:cs="Arial"/>
                <w:color w:val="auto"/>
                <w:kern w:val="0"/>
                <w:sz w:val="24"/>
                <w:szCs w:val="24"/>
                <w:highlight w:val="none"/>
              </w:rPr>
              <w:t>10球管焦点≥2个，小焦点：≤0.4mm，大焦点：≤0.9mm</w:t>
            </w:r>
          </w:p>
          <w:p w14:paraId="3355D82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6.</w:t>
            </w:r>
            <w:r>
              <w:rPr>
                <w:rFonts w:hint="eastAsia" w:ascii="宋体" w:hAnsi="宋体" w:eastAsia="宋体" w:cs="Arial"/>
                <w:color w:val="auto"/>
                <w:kern w:val="0"/>
                <w:sz w:val="24"/>
                <w:szCs w:val="24"/>
                <w:highlight w:val="none"/>
              </w:rPr>
              <w:t>11最小焦点功率：≥26kW，最大焦点功率：≥65kW</w:t>
            </w:r>
          </w:p>
          <w:p w14:paraId="43F6D01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w:t>
            </w:r>
            <w:r>
              <w:rPr>
                <w:rFonts w:hint="eastAsia" w:ascii="宋体" w:hAnsi="宋体" w:eastAsia="宋体" w:cs="Arial"/>
                <w:color w:val="auto"/>
                <w:kern w:val="0"/>
                <w:sz w:val="24"/>
                <w:szCs w:val="24"/>
                <w:highlight w:val="none"/>
                <w:lang w:eastAsia="zh-CN"/>
              </w:rPr>
              <w:t>6.</w:t>
            </w:r>
            <w:r>
              <w:rPr>
                <w:rFonts w:hint="eastAsia" w:ascii="宋体" w:hAnsi="宋体" w:eastAsia="宋体" w:cs="Arial"/>
                <w:color w:val="auto"/>
                <w:kern w:val="0"/>
                <w:sz w:val="24"/>
                <w:szCs w:val="24"/>
                <w:highlight w:val="none"/>
              </w:rPr>
              <w:t>12球管阳极靶边直径：≥160mm</w:t>
            </w:r>
          </w:p>
          <w:p w14:paraId="1F01CAD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6.</w:t>
            </w:r>
            <w:r>
              <w:rPr>
                <w:rFonts w:hint="eastAsia" w:ascii="宋体" w:hAnsi="宋体" w:eastAsia="宋体" w:cs="Arial"/>
                <w:color w:val="auto"/>
                <w:kern w:val="0"/>
                <w:sz w:val="24"/>
                <w:szCs w:val="24"/>
                <w:highlight w:val="none"/>
              </w:rPr>
              <w:t>13球管采用直接油冷技术或油冷+水冷</w:t>
            </w:r>
          </w:p>
          <w:p w14:paraId="16D8CA0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w:t>
            </w:r>
            <w:r>
              <w:rPr>
                <w:rFonts w:hint="eastAsia" w:ascii="宋体" w:hAnsi="宋体" w:eastAsia="宋体" w:cs="Arial"/>
                <w:color w:val="auto"/>
                <w:kern w:val="0"/>
                <w:sz w:val="24"/>
                <w:szCs w:val="24"/>
                <w:highlight w:val="none"/>
                <w:lang w:eastAsia="zh-CN"/>
              </w:rPr>
              <w:t>6.</w:t>
            </w:r>
            <w:r>
              <w:rPr>
                <w:rFonts w:hint="eastAsia" w:ascii="宋体" w:hAnsi="宋体" w:eastAsia="宋体" w:cs="Arial"/>
                <w:color w:val="auto"/>
                <w:kern w:val="0"/>
                <w:sz w:val="24"/>
                <w:szCs w:val="24"/>
                <w:highlight w:val="none"/>
              </w:rPr>
              <w:t>14球管内置栅控技术</w:t>
            </w:r>
          </w:p>
          <w:p w14:paraId="35AF1B4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6.</w:t>
            </w:r>
            <w:r>
              <w:rPr>
                <w:rFonts w:hint="eastAsia" w:ascii="宋体" w:hAnsi="宋体" w:eastAsia="宋体" w:cs="Arial"/>
                <w:color w:val="auto"/>
                <w:kern w:val="0"/>
                <w:sz w:val="24"/>
                <w:szCs w:val="24"/>
                <w:highlight w:val="none"/>
              </w:rPr>
              <w:t xml:space="preserve">15球管内置多档金属铜滤片，最厚≥0.9mm </w:t>
            </w:r>
          </w:p>
          <w:p w14:paraId="44CBC28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6.</w:t>
            </w:r>
            <w:r>
              <w:rPr>
                <w:rFonts w:hint="eastAsia" w:ascii="宋体" w:hAnsi="宋体" w:eastAsia="宋体" w:cs="Arial"/>
                <w:color w:val="auto"/>
                <w:kern w:val="0"/>
                <w:sz w:val="24"/>
                <w:szCs w:val="24"/>
                <w:highlight w:val="none"/>
              </w:rPr>
              <w:t>16配备通用型、虹膜型等多种遮光器</w:t>
            </w:r>
          </w:p>
          <w:p w14:paraId="0BB2A82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6.</w:t>
            </w:r>
            <w:r>
              <w:rPr>
                <w:rFonts w:hint="eastAsia" w:ascii="宋体" w:hAnsi="宋体" w:eastAsia="宋体" w:cs="Arial"/>
                <w:color w:val="auto"/>
                <w:kern w:val="0"/>
                <w:sz w:val="24"/>
                <w:szCs w:val="24"/>
                <w:highlight w:val="none"/>
              </w:rPr>
              <w:t>17遮光器位置可存储</w:t>
            </w:r>
          </w:p>
          <w:p w14:paraId="7057D04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6.</w:t>
            </w:r>
            <w:r>
              <w:rPr>
                <w:rFonts w:hint="eastAsia" w:ascii="宋体" w:hAnsi="宋体" w:eastAsia="宋体" w:cs="Arial"/>
                <w:color w:val="auto"/>
                <w:kern w:val="0"/>
                <w:sz w:val="24"/>
                <w:szCs w:val="24"/>
                <w:highlight w:val="none"/>
              </w:rPr>
              <w:t>18心脏介入手术中，半透明楔形挡板可根据投照角度自动定位</w:t>
            </w:r>
          </w:p>
          <w:p w14:paraId="16DF597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w:t>
            </w:r>
            <w:r>
              <w:rPr>
                <w:rFonts w:hint="eastAsia" w:ascii="宋体" w:hAnsi="宋体" w:eastAsia="宋体" w:cs="Arial"/>
                <w:color w:val="auto"/>
                <w:kern w:val="0"/>
                <w:sz w:val="24"/>
                <w:szCs w:val="24"/>
                <w:highlight w:val="none"/>
                <w:lang w:eastAsia="zh-CN"/>
              </w:rPr>
              <w:t>6.</w:t>
            </w:r>
            <w:r>
              <w:rPr>
                <w:rFonts w:hint="eastAsia" w:ascii="宋体" w:hAnsi="宋体" w:eastAsia="宋体" w:cs="Arial"/>
                <w:color w:val="auto"/>
                <w:kern w:val="0"/>
                <w:sz w:val="24"/>
                <w:szCs w:val="24"/>
                <w:highlight w:val="none"/>
              </w:rPr>
              <w:t>19球管与主机为同一品牌</w:t>
            </w:r>
          </w:p>
          <w:p w14:paraId="3DD34E3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7、平板探测器</w:t>
            </w:r>
          </w:p>
          <w:p w14:paraId="7ED153B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w:t>
            </w:r>
            <w:r>
              <w:rPr>
                <w:rFonts w:hint="eastAsia" w:ascii="宋体" w:hAnsi="宋体" w:eastAsia="宋体" w:cs="Arial"/>
                <w:color w:val="auto"/>
                <w:kern w:val="0"/>
                <w:sz w:val="24"/>
                <w:szCs w:val="24"/>
                <w:highlight w:val="none"/>
                <w:lang w:eastAsia="zh-CN"/>
              </w:rPr>
              <w:t>7.</w:t>
            </w:r>
            <w:r>
              <w:rPr>
                <w:rFonts w:hint="eastAsia" w:ascii="宋体" w:hAnsi="宋体" w:eastAsia="宋体" w:cs="Arial"/>
                <w:color w:val="auto"/>
                <w:kern w:val="0"/>
                <w:sz w:val="24"/>
                <w:szCs w:val="24"/>
                <w:highlight w:val="none"/>
              </w:rPr>
              <w:t>1探测器类型：≥16 bits数字化平板探测器</w:t>
            </w:r>
          </w:p>
          <w:p w14:paraId="33774CA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7.</w:t>
            </w:r>
            <w:r>
              <w:rPr>
                <w:rFonts w:hint="eastAsia" w:ascii="宋体" w:hAnsi="宋体" w:eastAsia="宋体" w:cs="Arial"/>
                <w:color w:val="auto"/>
                <w:kern w:val="0"/>
                <w:sz w:val="24"/>
                <w:szCs w:val="24"/>
                <w:highlight w:val="none"/>
              </w:rPr>
              <w:t xml:space="preserve">2平板外壳对角线大小：≤63cm </w:t>
            </w:r>
          </w:p>
          <w:p w14:paraId="5823E20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w:t>
            </w:r>
            <w:r>
              <w:rPr>
                <w:rFonts w:hint="eastAsia" w:ascii="宋体" w:hAnsi="宋体" w:eastAsia="宋体" w:cs="Arial"/>
                <w:color w:val="auto"/>
                <w:kern w:val="0"/>
                <w:sz w:val="24"/>
                <w:szCs w:val="24"/>
                <w:highlight w:val="none"/>
                <w:lang w:eastAsia="zh-CN"/>
              </w:rPr>
              <w:t>7.</w:t>
            </w:r>
            <w:r>
              <w:rPr>
                <w:rFonts w:hint="eastAsia" w:ascii="宋体" w:hAnsi="宋体" w:eastAsia="宋体" w:cs="Arial"/>
                <w:color w:val="auto"/>
                <w:kern w:val="0"/>
                <w:sz w:val="24"/>
                <w:szCs w:val="24"/>
                <w:highlight w:val="none"/>
              </w:rPr>
              <w:t>3最大有效成像视野≥  29cmx38cm</w:t>
            </w:r>
          </w:p>
          <w:p w14:paraId="076D162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w:t>
            </w:r>
            <w:r>
              <w:rPr>
                <w:rFonts w:hint="eastAsia" w:ascii="宋体" w:hAnsi="宋体" w:eastAsia="宋体" w:cs="Arial"/>
                <w:color w:val="auto"/>
                <w:kern w:val="0"/>
                <w:sz w:val="24"/>
                <w:szCs w:val="24"/>
                <w:highlight w:val="none"/>
                <w:lang w:eastAsia="zh-CN"/>
              </w:rPr>
              <w:t>7.</w:t>
            </w:r>
            <w:r>
              <w:rPr>
                <w:rFonts w:hint="eastAsia" w:ascii="宋体" w:hAnsi="宋体" w:eastAsia="宋体" w:cs="Arial"/>
                <w:color w:val="auto"/>
                <w:kern w:val="0"/>
                <w:sz w:val="24"/>
                <w:szCs w:val="24"/>
                <w:highlight w:val="none"/>
              </w:rPr>
              <w:t>4≥8种物理成像视野，以适应不同部位介入需要</w:t>
            </w:r>
          </w:p>
          <w:p w14:paraId="210346D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w:t>
            </w:r>
            <w:r>
              <w:rPr>
                <w:rFonts w:hint="eastAsia" w:ascii="宋体" w:hAnsi="宋体" w:eastAsia="宋体" w:cs="Arial"/>
                <w:color w:val="auto"/>
                <w:kern w:val="0"/>
                <w:sz w:val="24"/>
                <w:szCs w:val="24"/>
                <w:highlight w:val="none"/>
                <w:lang w:eastAsia="zh-CN"/>
              </w:rPr>
              <w:t>7.</w:t>
            </w:r>
            <w:r>
              <w:rPr>
                <w:rFonts w:hint="eastAsia" w:ascii="宋体" w:hAnsi="宋体" w:eastAsia="宋体" w:cs="Arial"/>
                <w:color w:val="auto"/>
                <w:kern w:val="0"/>
                <w:sz w:val="24"/>
                <w:szCs w:val="24"/>
                <w:highlight w:val="none"/>
              </w:rPr>
              <w:t xml:space="preserve">5最大图像矩阵灰阶输出≥1904 x 2584 </w:t>
            </w:r>
          </w:p>
          <w:p w14:paraId="23B1477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7.</w:t>
            </w:r>
            <w:r>
              <w:rPr>
                <w:rFonts w:hint="eastAsia" w:ascii="宋体" w:hAnsi="宋体" w:eastAsia="宋体" w:cs="Arial"/>
                <w:color w:val="auto"/>
                <w:kern w:val="0"/>
                <w:sz w:val="24"/>
                <w:szCs w:val="24"/>
                <w:highlight w:val="none"/>
              </w:rPr>
              <w:t>6平板探测器分辨率：≥3.25LP／mm</w:t>
            </w:r>
          </w:p>
          <w:p w14:paraId="2487268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7.</w:t>
            </w:r>
            <w:r>
              <w:rPr>
                <w:rFonts w:hint="eastAsia" w:ascii="宋体" w:hAnsi="宋体" w:eastAsia="宋体" w:cs="Arial"/>
                <w:color w:val="auto"/>
                <w:kern w:val="0"/>
                <w:sz w:val="24"/>
                <w:szCs w:val="24"/>
                <w:highlight w:val="none"/>
              </w:rPr>
              <w:t>7像素尺寸：≤154μm</w:t>
            </w:r>
          </w:p>
          <w:p w14:paraId="2D80A3B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7.</w:t>
            </w:r>
            <w:r>
              <w:rPr>
                <w:rFonts w:hint="eastAsia" w:ascii="宋体" w:hAnsi="宋体" w:eastAsia="宋体" w:cs="Arial"/>
                <w:color w:val="auto"/>
                <w:kern w:val="0"/>
                <w:sz w:val="24"/>
                <w:szCs w:val="24"/>
                <w:highlight w:val="none"/>
              </w:rPr>
              <w:t>8</w:t>
            </w:r>
            <w:r>
              <w:rPr>
                <w:rFonts w:hint="eastAsia" w:ascii="宋体" w:hAnsi="宋体" w:eastAsia="宋体" w:cs="Arial"/>
                <w:color w:val="auto"/>
                <w:kern w:val="0"/>
                <w:sz w:val="24"/>
                <w:szCs w:val="24"/>
                <w:highlight w:val="none"/>
                <w:lang w:val="en-US" w:eastAsia="zh-CN"/>
              </w:rPr>
              <w:t xml:space="preserve"> </w:t>
            </w:r>
            <w:r>
              <w:rPr>
                <w:rFonts w:hint="eastAsia" w:ascii="宋体" w:hAnsi="宋体" w:eastAsia="宋体" w:cs="Arial"/>
                <w:color w:val="auto"/>
                <w:kern w:val="0"/>
                <w:sz w:val="24"/>
                <w:szCs w:val="24"/>
                <w:highlight w:val="none"/>
              </w:rPr>
              <w:t>0 lp/mm 时DQE：≥77%</w:t>
            </w:r>
          </w:p>
          <w:p w14:paraId="16EE94C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7.</w:t>
            </w:r>
            <w:r>
              <w:rPr>
                <w:rFonts w:hint="eastAsia" w:ascii="宋体" w:hAnsi="宋体" w:eastAsia="宋体" w:cs="Arial"/>
                <w:color w:val="auto"/>
                <w:kern w:val="0"/>
                <w:sz w:val="24"/>
                <w:szCs w:val="24"/>
                <w:highlight w:val="none"/>
              </w:rPr>
              <w:t>9平板可90度旋转</w:t>
            </w:r>
          </w:p>
          <w:p w14:paraId="341E389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7.</w:t>
            </w:r>
            <w:r>
              <w:rPr>
                <w:rFonts w:hint="eastAsia" w:ascii="宋体" w:hAnsi="宋体" w:eastAsia="宋体" w:cs="Arial"/>
                <w:color w:val="auto"/>
                <w:kern w:val="0"/>
                <w:sz w:val="24"/>
                <w:szCs w:val="24"/>
                <w:highlight w:val="none"/>
              </w:rPr>
              <w:t>10平板探测器无需水冷装置</w:t>
            </w:r>
          </w:p>
          <w:p w14:paraId="42017BD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7.</w:t>
            </w:r>
            <w:r>
              <w:rPr>
                <w:rFonts w:hint="eastAsia" w:ascii="宋体" w:hAnsi="宋体" w:eastAsia="宋体" w:cs="Arial"/>
                <w:color w:val="auto"/>
                <w:kern w:val="0"/>
                <w:sz w:val="24"/>
                <w:szCs w:val="24"/>
                <w:highlight w:val="none"/>
              </w:rPr>
              <w:t>11平板探测器带有非接触式防碰撞保护装置及防碰撞自动控制</w:t>
            </w:r>
          </w:p>
          <w:p w14:paraId="5E8A89A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8、图像显示器</w:t>
            </w:r>
          </w:p>
          <w:p w14:paraId="0F6E8F2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8.</w:t>
            </w:r>
            <w:r>
              <w:rPr>
                <w:rFonts w:hint="eastAsia" w:ascii="宋体" w:hAnsi="宋体" w:eastAsia="宋体" w:cs="Arial"/>
                <w:color w:val="auto"/>
                <w:kern w:val="0"/>
                <w:sz w:val="24"/>
                <w:szCs w:val="24"/>
                <w:highlight w:val="none"/>
              </w:rPr>
              <w:t>1控制室：≥24英寸医用高分辨率LCD显示器，≥两台，显示矩阵：≥1920 x 1080</w:t>
            </w:r>
          </w:p>
          <w:p w14:paraId="184BB47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8.</w:t>
            </w:r>
            <w:r>
              <w:rPr>
                <w:rFonts w:hint="eastAsia" w:ascii="宋体" w:hAnsi="宋体" w:eastAsia="宋体" w:cs="Arial"/>
                <w:color w:val="auto"/>
                <w:kern w:val="0"/>
                <w:sz w:val="24"/>
                <w:szCs w:val="24"/>
                <w:highlight w:val="none"/>
              </w:rPr>
              <w:t>2最大视角：≥178°</w:t>
            </w:r>
          </w:p>
          <w:p w14:paraId="712AFA6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8.</w:t>
            </w:r>
            <w:r>
              <w:rPr>
                <w:rFonts w:hint="eastAsia" w:ascii="宋体" w:hAnsi="宋体" w:eastAsia="宋体" w:cs="Arial"/>
                <w:color w:val="auto"/>
                <w:kern w:val="0"/>
                <w:sz w:val="24"/>
                <w:szCs w:val="24"/>
                <w:highlight w:val="none"/>
              </w:rPr>
              <w:t>3亮度：≥400Cd/m²</w:t>
            </w:r>
          </w:p>
          <w:p w14:paraId="774BF4E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8.</w:t>
            </w:r>
            <w:r>
              <w:rPr>
                <w:rFonts w:hint="eastAsia" w:ascii="宋体" w:hAnsi="宋体" w:eastAsia="宋体" w:cs="Arial"/>
                <w:color w:val="auto"/>
                <w:kern w:val="0"/>
                <w:sz w:val="24"/>
                <w:szCs w:val="24"/>
                <w:highlight w:val="none"/>
              </w:rPr>
              <w:t>4操作室：医用高分辨率LCD显示器，显示矩阵：≥1920 x 1080</w:t>
            </w:r>
          </w:p>
          <w:p w14:paraId="616A6A4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8.</w:t>
            </w:r>
            <w:r>
              <w:rPr>
                <w:rFonts w:hint="eastAsia" w:ascii="宋体" w:hAnsi="宋体" w:eastAsia="宋体" w:cs="Arial"/>
                <w:color w:val="auto"/>
                <w:kern w:val="0"/>
                <w:sz w:val="24"/>
                <w:szCs w:val="24"/>
                <w:highlight w:val="none"/>
              </w:rPr>
              <w:t>5最大视角：≥178°</w:t>
            </w:r>
          </w:p>
          <w:p w14:paraId="258CFEB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8.</w:t>
            </w:r>
            <w:r>
              <w:rPr>
                <w:rFonts w:hint="eastAsia" w:ascii="宋体" w:hAnsi="宋体" w:eastAsia="宋体" w:cs="Arial"/>
                <w:color w:val="auto"/>
                <w:kern w:val="0"/>
                <w:sz w:val="24"/>
                <w:szCs w:val="24"/>
                <w:highlight w:val="none"/>
              </w:rPr>
              <w:t>6亮度：≥650Cd/m²</w:t>
            </w:r>
          </w:p>
          <w:p w14:paraId="604A0E6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8.</w:t>
            </w:r>
            <w:r>
              <w:rPr>
                <w:rFonts w:hint="eastAsia" w:ascii="宋体" w:hAnsi="宋体" w:eastAsia="宋体" w:cs="Arial"/>
                <w:color w:val="auto"/>
                <w:kern w:val="0"/>
                <w:sz w:val="24"/>
                <w:szCs w:val="24"/>
                <w:highlight w:val="none"/>
              </w:rPr>
              <w:t>7操作室：27英寸高亮医用高分辨率宽屏LCD显示器：≥4台</w:t>
            </w:r>
          </w:p>
          <w:p w14:paraId="484169B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8.8显示器吊架可置于床旁三侧位置，吊架移动范围：≥330 x 300cm</w:t>
            </w:r>
          </w:p>
          <w:p w14:paraId="65C17BF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8.</w:t>
            </w:r>
            <w:r>
              <w:rPr>
                <w:rFonts w:hint="eastAsia" w:ascii="宋体" w:hAnsi="宋体" w:eastAsia="宋体" w:cs="Arial"/>
                <w:color w:val="auto"/>
                <w:kern w:val="0"/>
                <w:sz w:val="24"/>
                <w:szCs w:val="24"/>
                <w:highlight w:val="none"/>
              </w:rPr>
              <w:t xml:space="preserve">9显示器吊架可进行人性化电动升降：≥32cm </w:t>
            </w:r>
          </w:p>
          <w:p w14:paraId="7A169A2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8.</w:t>
            </w:r>
            <w:r>
              <w:rPr>
                <w:rFonts w:hint="eastAsia" w:ascii="宋体" w:hAnsi="宋体" w:eastAsia="宋体" w:cs="Arial"/>
                <w:color w:val="auto"/>
                <w:kern w:val="0"/>
                <w:sz w:val="24"/>
                <w:szCs w:val="24"/>
                <w:highlight w:val="none"/>
              </w:rPr>
              <w:t>10显示器吊架旋转范围：≥350°</w:t>
            </w:r>
          </w:p>
          <w:p w14:paraId="785CDAE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8.</w:t>
            </w:r>
            <w:r>
              <w:rPr>
                <w:rFonts w:hint="eastAsia" w:ascii="宋体" w:hAnsi="宋体" w:eastAsia="宋体" w:cs="Arial"/>
                <w:color w:val="auto"/>
                <w:kern w:val="0"/>
                <w:sz w:val="24"/>
                <w:szCs w:val="24"/>
                <w:highlight w:val="none"/>
              </w:rPr>
              <w:t>11显示器上可显示X线使能、球管温度、曝光的kV,mA及ms、机架的旋转和成角信息、导管床高度、探测器视野、系统通用提示信息、选择的帧率、透视模式、累计透视时间、剂量率、累计剂量、DAP剂量面积乘积</w:t>
            </w:r>
          </w:p>
          <w:p w14:paraId="70DB5C7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9、图像系统</w:t>
            </w:r>
          </w:p>
          <w:p w14:paraId="2B6F10A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9.</w:t>
            </w:r>
            <w:r>
              <w:rPr>
                <w:rFonts w:hint="eastAsia" w:ascii="宋体" w:hAnsi="宋体" w:eastAsia="宋体" w:cs="Arial"/>
                <w:color w:val="auto"/>
                <w:kern w:val="0"/>
                <w:sz w:val="24"/>
                <w:szCs w:val="24"/>
                <w:highlight w:val="none"/>
              </w:rPr>
              <w:t>1外周采集、处理、存储20482矩阵</w:t>
            </w:r>
          </w:p>
          <w:p w14:paraId="11FC153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9.</w:t>
            </w:r>
            <w:r>
              <w:rPr>
                <w:rFonts w:hint="eastAsia" w:ascii="宋体" w:hAnsi="宋体" w:eastAsia="宋体" w:cs="Arial"/>
                <w:color w:val="auto"/>
                <w:kern w:val="0"/>
                <w:sz w:val="24"/>
                <w:szCs w:val="24"/>
                <w:highlight w:val="none"/>
              </w:rPr>
              <w:t>2采集帧率：0.5 - 6帧 /秒</w:t>
            </w:r>
          </w:p>
          <w:p w14:paraId="6441A20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9.</w:t>
            </w:r>
            <w:r>
              <w:rPr>
                <w:rFonts w:hint="eastAsia" w:ascii="宋体" w:hAnsi="宋体" w:eastAsia="宋体" w:cs="Arial"/>
                <w:color w:val="auto"/>
                <w:kern w:val="0"/>
                <w:sz w:val="24"/>
                <w:szCs w:val="24"/>
                <w:highlight w:val="none"/>
              </w:rPr>
              <w:t>3最大采集帧率：≥6帧/秒</w:t>
            </w:r>
          </w:p>
          <w:p w14:paraId="48867C2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9.</w:t>
            </w:r>
            <w:r>
              <w:rPr>
                <w:rFonts w:hint="eastAsia" w:ascii="宋体" w:hAnsi="宋体" w:eastAsia="宋体" w:cs="Arial"/>
                <w:color w:val="auto"/>
                <w:kern w:val="0"/>
                <w:sz w:val="24"/>
                <w:szCs w:val="24"/>
                <w:highlight w:val="none"/>
              </w:rPr>
              <w:t>4心脏采集、处理、存储10242矩阵：15 - 30帧 /秒</w:t>
            </w:r>
          </w:p>
          <w:p w14:paraId="2BE4FDC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9.</w:t>
            </w:r>
            <w:r>
              <w:rPr>
                <w:rFonts w:hint="eastAsia" w:ascii="宋体" w:hAnsi="宋体" w:eastAsia="宋体" w:cs="Arial"/>
                <w:color w:val="auto"/>
                <w:kern w:val="0"/>
                <w:sz w:val="24"/>
                <w:szCs w:val="24"/>
                <w:highlight w:val="none"/>
              </w:rPr>
              <w:t>5实时减影</w:t>
            </w:r>
          </w:p>
          <w:p w14:paraId="671E3C4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9.</w:t>
            </w:r>
            <w:r>
              <w:rPr>
                <w:rFonts w:hint="eastAsia" w:ascii="宋体" w:hAnsi="宋体" w:eastAsia="宋体" w:cs="Arial"/>
                <w:color w:val="auto"/>
                <w:kern w:val="0"/>
                <w:sz w:val="24"/>
                <w:szCs w:val="24"/>
                <w:highlight w:val="none"/>
              </w:rPr>
              <w:t>6脉冲透视</w:t>
            </w:r>
          </w:p>
          <w:p w14:paraId="0DE0D15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9.</w:t>
            </w:r>
            <w:r>
              <w:rPr>
                <w:rFonts w:hint="eastAsia" w:ascii="宋体" w:hAnsi="宋体" w:eastAsia="宋体" w:cs="Arial"/>
                <w:color w:val="auto"/>
                <w:kern w:val="0"/>
                <w:sz w:val="24"/>
                <w:szCs w:val="24"/>
                <w:highlight w:val="none"/>
              </w:rPr>
              <w:t>7床旁可直接选择透视剂量：≥3档</w:t>
            </w:r>
          </w:p>
          <w:p w14:paraId="30119B6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9.</w:t>
            </w:r>
            <w:r>
              <w:rPr>
                <w:rFonts w:hint="eastAsia" w:ascii="宋体" w:hAnsi="宋体" w:eastAsia="宋体" w:cs="Arial"/>
                <w:color w:val="auto"/>
                <w:kern w:val="0"/>
                <w:sz w:val="24"/>
                <w:szCs w:val="24"/>
                <w:highlight w:val="none"/>
              </w:rPr>
              <w:t>8可存储单幅及序列透视图像≥2000幅的连续动态透视图像，透视序列可以同屏多幅图像形式显示于参考屏上</w:t>
            </w:r>
          </w:p>
          <w:p w14:paraId="37CD9B9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9.</w:t>
            </w:r>
            <w:r>
              <w:rPr>
                <w:rFonts w:hint="eastAsia" w:ascii="宋体" w:hAnsi="宋体" w:eastAsia="宋体" w:cs="Arial"/>
                <w:color w:val="auto"/>
                <w:kern w:val="0"/>
                <w:sz w:val="24"/>
                <w:szCs w:val="24"/>
                <w:highlight w:val="none"/>
              </w:rPr>
              <w:t>9最大脉冲透视速度：≥30幅/秒</w:t>
            </w:r>
          </w:p>
          <w:p w14:paraId="4A17717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9.</w:t>
            </w:r>
            <w:r>
              <w:rPr>
                <w:rFonts w:hint="eastAsia" w:ascii="宋体" w:hAnsi="宋体" w:eastAsia="宋体" w:cs="Arial"/>
                <w:color w:val="auto"/>
                <w:kern w:val="0"/>
                <w:sz w:val="24"/>
                <w:szCs w:val="24"/>
                <w:highlight w:val="none"/>
              </w:rPr>
              <w:t>10最小脉冲透视速度：≤3.75幅/秒</w:t>
            </w:r>
          </w:p>
          <w:p w14:paraId="1C1281E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9.</w:t>
            </w:r>
            <w:r>
              <w:rPr>
                <w:rFonts w:hint="eastAsia" w:ascii="宋体" w:hAnsi="宋体" w:eastAsia="宋体" w:cs="Arial"/>
                <w:color w:val="auto"/>
                <w:kern w:val="0"/>
                <w:sz w:val="24"/>
                <w:szCs w:val="24"/>
                <w:highlight w:val="none"/>
              </w:rPr>
              <w:t>11具有透视末帧图像保持功能</w:t>
            </w:r>
          </w:p>
          <w:p w14:paraId="2B3D712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9.</w:t>
            </w:r>
            <w:r>
              <w:rPr>
                <w:rFonts w:hint="eastAsia" w:ascii="宋体" w:hAnsi="宋体" w:eastAsia="宋体" w:cs="Arial"/>
                <w:color w:val="auto"/>
                <w:kern w:val="0"/>
                <w:sz w:val="24"/>
                <w:szCs w:val="24"/>
                <w:highlight w:val="none"/>
              </w:rPr>
              <w:t>12硬盘图像存储量：≥50,000幅</w:t>
            </w:r>
          </w:p>
          <w:p w14:paraId="0D9C2F3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9.</w:t>
            </w:r>
            <w:r>
              <w:rPr>
                <w:rFonts w:hint="eastAsia" w:ascii="宋体" w:hAnsi="宋体" w:eastAsia="宋体" w:cs="Arial"/>
                <w:color w:val="auto"/>
                <w:kern w:val="0"/>
                <w:sz w:val="24"/>
                <w:szCs w:val="24"/>
                <w:highlight w:val="none"/>
              </w:rPr>
              <w:t>13后处理功能包括：改变回放速度、选择路标图像、电子遮光器、边缘增强、图像反转、附加注解、快速选择图像、移动放大、可变速度循环放映、造影图像自动窗宽、窗位调节、重定蒙片、手动自动像素移位、最大路径和骨标记</w:t>
            </w:r>
          </w:p>
          <w:p w14:paraId="0351D10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9.</w:t>
            </w:r>
            <w:r>
              <w:rPr>
                <w:rFonts w:hint="eastAsia" w:ascii="宋体" w:hAnsi="宋体" w:eastAsia="宋体" w:cs="Arial"/>
                <w:color w:val="auto"/>
                <w:kern w:val="0"/>
                <w:sz w:val="24"/>
                <w:szCs w:val="24"/>
                <w:highlight w:val="none"/>
              </w:rPr>
              <w:t>14血管序列实时DSA功能和DA功能</w:t>
            </w:r>
          </w:p>
          <w:p w14:paraId="13C88C4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10、测量分析（主机系统）</w:t>
            </w:r>
          </w:p>
          <w:p w14:paraId="5FA82E1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10.</w:t>
            </w:r>
            <w:r>
              <w:rPr>
                <w:rFonts w:hint="eastAsia" w:ascii="宋体" w:hAnsi="宋体" w:eastAsia="宋体" w:cs="Arial"/>
                <w:color w:val="auto"/>
                <w:kern w:val="0"/>
                <w:sz w:val="24"/>
                <w:szCs w:val="24"/>
                <w:highlight w:val="none"/>
              </w:rPr>
              <w:t>1主机系统具备左心室分析软件，可测量舒张末期和收缩末期容积、射血分数、每博量测定，三种方法以上室壁运动曲线测量。</w:t>
            </w:r>
          </w:p>
          <w:p w14:paraId="4E2BF80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10.</w:t>
            </w:r>
            <w:r>
              <w:rPr>
                <w:rFonts w:hint="eastAsia" w:ascii="宋体" w:hAnsi="宋体" w:eastAsia="宋体" w:cs="Arial"/>
                <w:color w:val="auto"/>
                <w:kern w:val="0"/>
                <w:sz w:val="24"/>
                <w:szCs w:val="24"/>
                <w:highlight w:val="none"/>
              </w:rPr>
              <w:t>2主机系统具备冠脉分析软件，所选血管段直径、狭窄信息、截面积、狭窄百分比等测量。</w:t>
            </w:r>
          </w:p>
          <w:p w14:paraId="1BB9262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11、旋转采集</w:t>
            </w:r>
          </w:p>
          <w:p w14:paraId="2226E00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w:t>
            </w:r>
            <w:r>
              <w:rPr>
                <w:rFonts w:hint="eastAsia" w:ascii="宋体" w:hAnsi="宋体" w:eastAsia="宋体" w:cs="Arial"/>
                <w:color w:val="auto"/>
                <w:kern w:val="0"/>
                <w:sz w:val="24"/>
                <w:szCs w:val="24"/>
                <w:highlight w:val="none"/>
                <w:lang w:eastAsia="zh-CN"/>
              </w:rPr>
              <w:t>1.</w:t>
            </w:r>
            <w:r>
              <w:rPr>
                <w:rFonts w:hint="eastAsia" w:ascii="宋体" w:hAnsi="宋体" w:eastAsia="宋体" w:cs="Arial"/>
                <w:color w:val="auto"/>
                <w:kern w:val="0"/>
                <w:sz w:val="24"/>
                <w:szCs w:val="24"/>
                <w:highlight w:val="none"/>
              </w:rPr>
              <w:t xml:space="preserve">1L臂旋转采集C臂旋转速度：≥55度/秒，有效覆盖范围：≥240度 </w:t>
            </w:r>
          </w:p>
          <w:p w14:paraId="342F4A1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w:t>
            </w:r>
            <w:r>
              <w:rPr>
                <w:rFonts w:hint="eastAsia" w:ascii="宋体" w:hAnsi="宋体" w:eastAsia="宋体" w:cs="Arial"/>
                <w:color w:val="auto"/>
                <w:kern w:val="0"/>
                <w:sz w:val="24"/>
                <w:szCs w:val="24"/>
                <w:highlight w:val="none"/>
                <w:lang w:eastAsia="zh-CN"/>
              </w:rPr>
              <w:t>1.</w:t>
            </w:r>
            <w:r>
              <w:rPr>
                <w:rFonts w:hint="eastAsia" w:ascii="宋体" w:hAnsi="宋体" w:eastAsia="宋体" w:cs="Arial"/>
                <w:color w:val="auto"/>
                <w:kern w:val="0"/>
                <w:sz w:val="24"/>
                <w:szCs w:val="24"/>
                <w:highlight w:val="none"/>
              </w:rPr>
              <w:t>21024采集，最快采集速度：≥30幅/秒</w:t>
            </w:r>
          </w:p>
          <w:p w14:paraId="0AE35E3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w:t>
            </w:r>
            <w:r>
              <w:rPr>
                <w:rFonts w:hint="eastAsia" w:ascii="宋体" w:hAnsi="宋体" w:eastAsia="宋体" w:cs="Arial"/>
                <w:color w:val="auto"/>
                <w:kern w:val="0"/>
                <w:sz w:val="24"/>
                <w:szCs w:val="24"/>
                <w:highlight w:val="none"/>
                <w:lang w:eastAsia="zh-CN"/>
              </w:rPr>
              <w:t>1.</w:t>
            </w:r>
            <w:r>
              <w:rPr>
                <w:rFonts w:hint="eastAsia" w:ascii="宋体" w:hAnsi="宋体" w:eastAsia="宋体" w:cs="Arial"/>
                <w:color w:val="auto"/>
                <w:kern w:val="0"/>
                <w:sz w:val="24"/>
                <w:szCs w:val="24"/>
                <w:highlight w:val="none"/>
              </w:rPr>
              <w:t>3可实时减影</w:t>
            </w:r>
          </w:p>
          <w:p w14:paraId="4289F90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12、网络与接口</w:t>
            </w:r>
          </w:p>
          <w:p w14:paraId="0130ED1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w:t>
            </w:r>
            <w:r>
              <w:rPr>
                <w:rFonts w:hint="eastAsia" w:ascii="宋体" w:hAnsi="宋体" w:eastAsia="宋体" w:cs="Arial"/>
                <w:color w:val="auto"/>
                <w:kern w:val="0"/>
                <w:sz w:val="24"/>
                <w:szCs w:val="24"/>
                <w:highlight w:val="none"/>
                <w:lang w:eastAsia="zh-CN"/>
              </w:rPr>
              <w:t>2.</w:t>
            </w:r>
            <w:r>
              <w:rPr>
                <w:rFonts w:hint="eastAsia" w:ascii="宋体" w:hAnsi="宋体" w:eastAsia="宋体" w:cs="Arial"/>
                <w:color w:val="auto"/>
                <w:kern w:val="0"/>
                <w:sz w:val="24"/>
                <w:szCs w:val="24"/>
                <w:highlight w:val="none"/>
              </w:rPr>
              <w:t xml:space="preserve">1具有DICOM Send功能 </w:t>
            </w:r>
          </w:p>
          <w:p w14:paraId="2BC0559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w:t>
            </w:r>
            <w:r>
              <w:rPr>
                <w:rFonts w:hint="eastAsia" w:ascii="宋体" w:hAnsi="宋体" w:eastAsia="宋体" w:cs="Arial"/>
                <w:color w:val="auto"/>
                <w:kern w:val="0"/>
                <w:sz w:val="24"/>
                <w:szCs w:val="24"/>
                <w:highlight w:val="none"/>
                <w:lang w:eastAsia="zh-CN"/>
              </w:rPr>
              <w:t>2.</w:t>
            </w:r>
            <w:r>
              <w:rPr>
                <w:rFonts w:hint="eastAsia" w:ascii="宋体" w:hAnsi="宋体" w:eastAsia="宋体" w:cs="Arial"/>
                <w:color w:val="auto"/>
                <w:kern w:val="0"/>
                <w:sz w:val="24"/>
                <w:szCs w:val="24"/>
                <w:highlight w:val="none"/>
              </w:rPr>
              <w:t>2具有DICOM Print功能</w:t>
            </w:r>
          </w:p>
          <w:p w14:paraId="773653E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w:t>
            </w:r>
            <w:r>
              <w:rPr>
                <w:rFonts w:hint="eastAsia" w:ascii="宋体" w:hAnsi="宋体" w:eastAsia="宋体" w:cs="Arial"/>
                <w:color w:val="auto"/>
                <w:kern w:val="0"/>
                <w:sz w:val="24"/>
                <w:szCs w:val="24"/>
                <w:highlight w:val="none"/>
                <w:lang w:eastAsia="zh-CN"/>
              </w:rPr>
              <w:t>2.</w:t>
            </w:r>
            <w:r>
              <w:rPr>
                <w:rFonts w:hint="eastAsia" w:ascii="宋体" w:hAnsi="宋体" w:eastAsia="宋体" w:cs="Arial"/>
                <w:color w:val="auto"/>
                <w:kern w:val="0"/>
                <w:sz w:val="24"/>
                <w:szCs w:val="24"/>
                <w:highlight w:val="none"/>
              </w:rPr>
              <w:t>3具有DICOM Query/Retrieve功能</w:t>
            </w:r>
          </w:p>
          <w:p w14:paraId="71CB1E4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w:t>
            </w:r>
            <w:r>
              <w:rPr>
                <w:rFonts w:hint="eastAsia" w:ascii="宋体" w:hAnsi="宋体" w:eastAsia="宋体" w:cs="Arial"/>
                <w:color w:val="auto"/>
                <w:kern w:val="0"/>
                <w:sz w:val="24"/>
                <w:szCs w:val="24"/>
                <w:highlight w:val="none"/>
                <w:lang w:eastAsia="zh-CN"/>
              </w:rPr>
              <w:t>2.</w:t>
            </w:r>
            <w:r>
              <w:rPr>
                <w:rFonts w:hint="eastAsia" w:ascii="宋体" w:hAnsi="宋体" w:eastAsia="宋体" w:cs="Arial"/>
                <w:color w:val="auto"/>
                <w:kern w:val="0"/>
                <w:sz w:val="24"/>
                <w:szCs w:val="24"/>
                <w:highlight w:val="none"/>
              </w:rPr>
              <w:t>4具有DICOM Worklist功能</w:t>
            </w:r>
          </w:p>
          <w:p w14:paraId="0E54E47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w:t>
            </w:r>
            <w:r>
              <w:rPr>
                <w:rFonts w:hint="eastAsia" w:ascii="宋体" w:hAnsi="宋体" w:eastAsia="宋体" w:cs="Arial"/>
                <w:color w:val="auto"/>
                <w:kern w:val="0"/>
                <w:sz w:val="24"/>
                <w:szCs w:val="24"/>
                <w:highlight w:val="none"/>
                <w:lang w:eastAsia="zh-CN"/>
              </w:rPr>
              <w:t>2.</w:t>
            </w:r>
            <w:r>
              <w:rPr>
                <w:rFonts w:hint="eastAsia" w:ascii="宋体" w:hAnsi="宋体" w:eastAsia="宋体" w:cs="Arial"/>
                <w:color w:val="auto"/>
                <w:kern w:val="0"/>
                <w:sz w:val="24"/>
                <w:szCs w:val="24"/>
                <w:highlight w:val="none"/>
              </w:rPr>
              <w:t>5具有DICOM MPPS功能</w:t>
            </w:r>
          </w:p>
          <w:p w14:paraId="6F07280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w:t>
            </w:r>
            <w:r>
              <w:rPr>
                <w:rFonts w:hint="eastAsia" w:ascii="宋体" w:hAnsi="宋体" w:eastAsia="宋体" w:cs="Arial"/>
                <w:color w:val="auto"/>
                <w:kern w:val="0"/>
                <w:sz w:val="24"/>
                <w:szCs w:val="24"/>
                <w:highlight w:val="none"/>
                <w:lang w:eastAsia="zh-CN"/>
              </w:rPr>
              <w:t>2.</w:t>
            </w:r>
            <w:r>
              <w:rPr>
                <w:rFonts w:hint="eastAsia" w:ascii="宋体" w:hAnsi="宋体" w:eastAsia="宋体" w:cs="Arial"/>
                <w:color w:val="auto"/>
                <w:kern w:val="0"/>
                <w:sz w:val="24"/>
                <w:szCs w:val="24"/>
                <w:highlight w:val="none"/>
              </w:rPr>
              <w:t>6激光相机接口</w:t>
            </w:r>
          </w:p>
          <w:p w14:paraId="33C076E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w:t>
            </w:r>
            <w:r>
              <w:rPr>
                <w:rFonts w:hint="eastAsia" w:ascii="宋体" w:hAnsi="宋体" w:eastAsia="宋体" w:cs="Arial"/>
                <w:color w:val="auto"/>
                <w:kern w:val="0"/>
                <w:sz w:val="24"/>
                <w:szCs w:val="24"/>
                <w:highlight w:val="none"/>
                <w:lang w:eastAsia="zh-CN"/>
              </w:rPr>
              <w:t>2.</w:t>
            </w:r>
            <w:r>
              <w:rPr>
                <w:rFonts w:hint="eastAsia" w:ascii="宋体" w:hAnsi="宋体" w:eastAsia="宋体" w:cs="Arial"/>
                <w:color w:val="auto"/>
                <w:kern w:val="0"/>
                <w:sz w:val="24"/>
                <w:szCs w:val="24"/>
                <w:highlight w:val="none"/>
              </w:rPr>
              <w:t>7高压注射器接口</w:t>
            </w:r>
          </w:p>
          <w:p w14:paraId="00FDC02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13、附件</w:t>
            </w:r>
          </w:p>
          <w:p w14:paraId="2EE78E8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13.1具备整个系统的升级能力</w:t>
            </w:r>
          </w:p>
          <w:p w14:paraId="6F17187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13.2具有双向对讲系统</w:t>
            </w:r>
          </w:p>
          <w:p w14:paraId="3472F96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13.3具有图像处理操作面板</w:t>
            </w:r>
          </w:p>
          <w:p w14:paraId="41E138A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13.4具有红外遥控器至少2个</w:t>
            </w:r>
          </w:p>
          <w:p w14:paraId="46B3337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13.5红外遥控器具有激光灯指示功能</w:t>
            </w:r>
          </w:p>
          <w:p w14:paraId="6643AA7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13.6具有悬吊式射线防护屏</w:t>
            </w:r>
          </w:p>
          <w:p w14:paraId="06F7D03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13.7具有床旁射线防护帘</w:t>
            </w:r>
          </w:p>
          <w:p w14:paraId="4497953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13.8具有悬吊式手术灯</w:t>
            </w:r>
          </w:p>
          <w:p w14:paraId="3218D7A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13.9具有中文操作手册</w:t>
            </w:r>
          </w:p>
          <w:p w14:paraId="16E8A98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13.10具有输液器吊架</w:t>
            </w:r>
          </w:p>
          <w:p w14:paraId="502DAD5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13.11具有双侧臂托一对</w:t>
            </w:r>
          </w:p>
          <w:p w14:paraId="05FE0DB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13.12具有头托</w:t>
            </w:r>
          </w:p>
          <w:p w14:paraId="15AA480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13.13具有桡动脉穿刺臂托</w:t>
            </w:r>
          </w:p>
          <w:p w14:paraId="314A34C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13.14提供多功能脚闸</w:t>
            </w:r>
          </w:p>
          <w:p w14:paraId="1B832E0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14智能路图功能</w:t>
            </w:r>
          </w:p>
          <w:p w14:paraId="1528507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14．1可针对脑血管、胸部、腹部等不同检查部位，设置专门的路图参数，并可在床旁液晶触摸屏上直接进行参数调整</w:t>
            </w:r>
          </w:p>
          <w:p w14:paraId="424367A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14．2可在床旁液晶触摸屏上选择针对导管引导、打胶、放置弹簧圈等不同介入操作的专门路图模式</w:t>
            </w:r>
          </w:p>
          <w:p w14:paraId="2DE9618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14．3医生可自定义针对特殊介入操作类型的路图显示模式</w:t>
            </w:r>
          </w:p>
          <w:p w14:paraId="0EB4356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14．4在不同路图模式下，可对路图中的减影血管影像、介入植入物（导丝导管、胶、弹簧圈等）、解剖背景的亮度进行分别的独立调节，以满足复杂介入操作引导的需要</w:t>
            </w:r>
          </w:p>
          <w:p w14:paraId="2EFF82F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14．5液晶触摸屏上具有专门的路图运动伪影自动消除键，可随时对由于病人微小运动导致的路图伪影进行自动实时补偿校正，有效减少运动伪影的影响</w:t>
            </w:r>
          </w:p>
          <w:p w14:paraId="092ED9F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15、组合蒙片功能</w:t>
            </w:r>
          </w:p>
          <w:p w14:paraId="3AEC4AC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w:t>
            </w:r>
            <w:r>
              <w:rPr>
                <w:rFonts w:hint="eastAsia" w:ascii="宋体" w:hAnsi="宋体" w:eastAsia="宋体" w:cs="Arial"/>
                <w:color w:val="auto"/>
                <w:kern w:val="0"/>
                <w:sz w:val="24"/>
                <w:szCs w:val="24"/>
                <w:highlight w:val="none"/>
                <w:lang w:eastAsia="zh-CN"/>
              </w:rPr>
              <w:t>5.</w:t>
            </w:r>
            <w:r>
              <w:rPr>
                <w:rFonts w:hint="eastAsia" w:ascii="宋体" w:hAnsi="宋体" w:eastAsia="宋体" w:cs="Arial"/>
                <w:color w:val="auto"/>
                <w:kern w:val="0"/>
                <w:sz w:val="24"/>
                <w:szCs w:val="24"/>
                <w:highlight w:val="none"/>
              </w:rPr>
              <w:t>1可对用于实时DSA的蒙片数量进行实时组合优化，以明显降低蒙片的背景噪声，显著提高DSA的图像质量</w:t>
            </w:r>
          </w:p>
          <w:p w14:paraId="6F713DC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w:t>
            </w:r>
            <w:r>
              <w:rPr>
                <w:rFonts w:hint="eastAsia" w:ascii="宋体" w:hAnsi="宋体" w:eastAsia="宋体" w:cs="Arial"/>
                <w:color w:val="auto"/>
                <w:kern w:val="0"/>
                <w:sz w:val="24"/>
                <w:szCs w:val="24"/>
                <w:highlight w:val="none"/>
                <w:lang w:eastAsia="zh-CN"/>
              </w:rPr>
              <w:t>5.</w:t>
            </w:r>
            <w:r>
              <w:rPr>
                <w:rFonts w:hint="eastAsia" w:ascii="宋体" w:hAnsi="宋体" w:eastAsia="宋体" w:cs="Arial"/>
                <w:color w:val="auto"/>
                <w:kern w:val="0"/>
                <w:sz w:val="24"/>
                <w:szCs w:val="24"/>
                <w:highlight w:val="none"/>
              </w:rPr>
              <w:t>2可对用于实时DSA的蒙片数量进行实时组合优化，在保持相同噪声水平的前提下，明显降低辐射剂量</w:t>
            </w:r>
          </w:p>
          <w:p w14:paraId="48C0A71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w:t>
            </w:r>
            <w:r>
              <w:rPr>
                <w:rFonts w:hint="eastAsia" w:ascii="宋体" w:hAnsi="宋体" w:eastAsia="宋体" w:cs="Arial"/>
                <w:color w:val="auto"/>
                <w:kern w:val="0"/>
                <w:sz w:val="24"/>
                <w:szCs w:val="24"/>
                <w:highlight w:val="none"/>
                <w:lang w:eastAsia="zh-CN"/>
              </w:rPr>
              <w:t>5.</w:t>
            </w:r>
            <w:r>
              <w:rPr>
                <w:rFonts w:hint="eastAsia" w:ascii="宋体" w:hAnsi="宋体" w:eastAsia="宋体" w:cs="Arial"/>
                <w:color w:val="auto"/>
                <w:kern w:val="0"/>
                <w:sz w:val="24"/>
                <w:szCs w:val="24"/>
                <w:highlight w:val="none"/>
              </w:rPr>
              <w:t>3在实时DSA图像显示前的瞬间，可显示组合蒙片图像</w:t>
            </w:r>
          </w:p>
          <w:p w14:paraId="12F8BBB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w:t>
            </w:r>
            <w:r>
              <w:rPr>
                <w:rFonts w:hint="eastAsia" w:ascii="宋体" w:hAnsi="宋体" w:eastAsia="宋体" w:cs="Arial"/>
                <w:color w:val="auto"/>
                <w:kern w:val="0"/>
                <w:sz w:val="24"/>
                <w:szCs w:val="24"/>
                <w:highlight w:val="none"/>
                <w:lang w:eastAsia="zh-CN"/>
              </w:rPr>
              <w:t>5.</w:t>
            </w:r>
            <w:r>
              <w:rPr>
                <w:rFonts w:hint="eastAsia" w:ascii="宋体" w:hAnsi="宋体" w:eastAsia="宋体" w:cs="Arial"/>
                <w:color w:val="auto"/>
                <w:kern w:val="0"/>
                <w:sz w:val="24"/>
                <w:szCs w:val="24"/>
                <w:highlight w:val="none"/>
              </w:rPr>
              <w:t>4可对组合蒙片的数量调整，最大组合蒙片数量≥6幅</w:t>
            </w:r>
          </w:p>
          <w:p w14:paraId="5F5BE82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w:t>
            </w:r>
            <w:r>
              <w:rPr>
                <w:rFonts w:hint="eastAsia" w:ascii="宋体" w:hAnsi="宋体" w:eastAsia="宋体" w:cs="Arial"/>
                <w:color w:val="auto"/>
                <w:kern w:val="0"/>
                <w:sz w:val="24"/>
                <w:szCs w:val="24"/>
                <w:highlight w:val="none"/>
                <w:lang w:eastAsia="zh-CN"/>
              </w:rPr>
              <w:t>5.</w:t>
            </w:r>
            <w:r>
              <w:rPr>
                <w:rFonts w:hint="eastAsia" w:ascii="宋体" w:hAnsi="宋体" w:eastAsia="宋体" w:cs="Arial"/>
                <w:color w:val="auto"/>
                <w:kern w:val="0"/>
                <w:sz w:val="24"/>
                <w:szCs w:val="24"/>
                <w:highlight w:val="none"/>
              </w:rPr>
              <w:t>5可针对不同检查部位进行蒙片数量的个性化组合，以满足不同部位的成像特点</w:t>
            </w:r>
          </w:p>
          <w:p w14:paraId="5C8C8CC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16、射线剂量防护技术：</w:t>
            </w:r>
          </w:p>
          <w:p w14:paraId="1DCC0F3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16.1采用铜滤片自动插入技术消除球管软射线，最厚≥0.9mm</w:t>
            </w:r>
          </w:p>
          <w:p w14:paraId="1DC0B9D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16.2插入铜滤片数≥3片，具备自动和手动两种方式</w:t>
            </w:r>
          </w:p>
          <w:p w14:paraId="476F3F1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16.3具有管球内置栅控技术</w:t>
            </w:r>
          </w:p>
          <w:p w14:paraId="77C42B5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16.4透视图像存储功能：≥2000幅透视图像连续存储</w:t>
            </w:r>
          </w:p>
          <w:p w14:paraId="741BCB7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16.5透视冻结图像上可实现无射线调节遮光器、滤波片位置</w:t>
            </w:r>
          </w:p>
          <w:p w14:paraId="450AD26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16.6具有射线剂量监测功能，透视时，表面剂量率显示；透视间期，显示积累剂量，区域剂量和剂量限值</w:t>
            </w:r>
          </w:p>
          <w:p w14:paraId="7BD9482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16.7具有床下防护铅帘，悬吊式防护铅屏</w:t>
            </w:r>
          </w:p>
          <w:p w14:paraId="2B49F79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17、高级三维重建功能</w:t>
            </w:r>
          </w:p>
          <w:p w14:paraId="384E6EC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17.1有独立的原厂原装三维重建工作站硬件和软件</w:t>
            </w:r>
          </w:p>
          <w:p w14:paraId="620C2BC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17.1.13D全流程实时逐步引导采集功能，智能提示造影剂用量及曝光参数</w:t>
            </w:r>
          </w:p>
          <w:p w14:paraId="57267FA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17.1.2床旁触摸屏可即刻显示三维影像，并可直接放大、缩小、旋转、标记、测量、分割三维图像</w:t>
            </w:r>
          </w:p>
          <w:p w14:paraId="2C35939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17.1.3三维影像可实现矢状位/冠状位/轴位同步实时显示</w:t>
            </w:r>
          </w:p>
          <w:p w14:paraId="6554919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17.1可在床旁触摸屏上实现多曲面重建，3D两点间测量等功能</w:t>
            </w:r>
          </w:p>
          <w:p w14:paraId="05895C9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17.2机架旋转速度：≥55度/秒，覆盖范围：≥240度</w:t>
            </w:r>
          </w:p>
          <w:p w14:paraId="5D09476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17.3机架可在头位及侧位进行三维采集</w:t>
            </w:r>
          </w:p>
          <w:p w14:paraId="5146D33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17.4具有体积/表面重建,最大密度投影、模拟机架位、钙化斑成像、透明血管成像功能</w:t>
            </w:r>
          </w:p>
          <w:p w14:paraId="3C84A42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17.5具有局部放大重建</w:t>
            </w:r>
          </w:p>
          <w:p w14:paraId="718006A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17.6具有专用脊柱三维采集程序及脊柱重建功能</w:t>
            </w:r>
          </w:p>
          <w:p w14:paraId="7458955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17.7具有距离测量、体积测量功能</w:t>
            </w:r>
          </w:p>
          <w:p w14:paraId="36C318C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17.8具有三维自动血管分析</w:t>
            </w:r>
          </w:p>
          <w:p w14:paraId="02A625F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17.9仅造影序列便可重建出三维图像；无需蒙片序列，减少曝光，加快手术进程，自旋转采集起至重建结束的时间：≤12秒</w:t>
            </w:r>
          </w:p>
          <w:p w14:paraId="5CCE777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17.10可直接在床旁触摸屏上进行机架位置存储以及测量功能</w:t>
            </w:r>
          </w:p>
          <w:p w14:paraId="785FF9B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17.11当选定最佳三维图像观察角度，机架可自动跟踪定位到此投照角度</w:t>
            </w:r>
          </w:p>
          <w:p w14:paraId="574C8C0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17.12当机架投照角度转动时，三维图像跟随机架实时转动，保持相同观察角度，无间隔时间，并支持无射线环境下</w:t>
            </w:r>
          </w:p>
          <w:p w14:paraId="16C02F0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18动脉瘤形态学分析</w:t>
            </w:r>
          </w:p>
          <w:p w14:paraId="355FC52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18.1自动计算动脉瘤动脉瘤瘤颈、瘤体体积、瘤体直径</w:t>
            </w:r>
          </w:p>
          <w:p w14:paraId="1896E9A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18.2具备介入导管头模拟塑形功能</w:t>
            </w:r>
          </w:p>
          <w:p w14:paraId="609DEC7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18.3具备虚拟支架植入功能</w:t>
            </w:r>
          </w:p>
          <w:p w14:paraId="21E9450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19虚拟内窥镜功能</w:t>
            </w:r>
          </w:p>
          <w:p w14:paraId="07D8A7D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19.1可利用三维数据自动生成内窥镜视角图像</w:t>
            </w:r>
          </w:p>
          <w:p w14:paraId="4E6A9E9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19.2可生成内窥镜视角视频，便于医生观察血管内部病变</w:t>
            </w:r>
          </w:p>
          <w:p w14:paraId="2A0F47B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19.3具备血管曲面重建以及大范围血管拉直功能</w:t>
            </w:r>
          </w:p>
          <w:p w14:paraId="15F6F62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20类CT软组织成像功能</w:t>
            </w:r>
          </w:p>
          <w:p w14:paraId="19B217B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20.1能提供原厂类CT的软组织图像，能够进行机架正位和侧位的类CT采集，以满足头部、胸部、腹部、盆腔、脊柱、四肢部分的采集和重建</w:t>
            </w:r>
          </w:p>
          <w:p w14:paraId="5935E1A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20.2能在床旁实现任意角度断面的观察，并可调节层厚，窗宽，窗位等CT参数</w:t>
            </w:r>
          </w:p>
          <w:p w14:paraId="5021CFC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20.3单次类CT采集有效覆盖范围：≥200度</w:t>
            </w:r>
          </w:p>
          <w:p w14:paraId="45811E2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20.4最快采集速率：≥60帧/秒</w:t>
            </w:r>
          </w:p>
          <w:p w14:paraId="725E72A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20.5最快采集时间：≤5秒</w:t>
            </w:r>
          </w:p>
          <w:p w14:paraId="073E89B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20.6类CT图像采集，实现全流程实时逐步引导功能</w:t>
            </w:r>
          </w:p>
          <w:p w14:paraId="6A31094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20.7三维重建和类CT重建硬件一体化设计，实现二者融合匹配显示</w:t>
            </w:r>
          </w:p>
          <w:p w14:paraId="53041F1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20.8仅需一次旋转采集即可实现三维重建和类CT重建</w:t>
            </w:r>
          </w:p>
          <w:p w14:paraId="0E0C569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20.9旋转采集数据能够自动传输至工作站并自动重建，整个过程无需人为参与</w:t>
            </w:r>
          </w:p>
          <w:p w14:paraId="451FDFB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20.10具备专用的金属伪影消除采集程序，消除金属植入物和支架的影响</w:t>
            </w:r>
          </w:p>
          <w:p w14:paraId="1812603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20.11具备专用的BMI噪声抑制程序</w:t>
            </w:r>
          </w:p>
          <w:p w14:paraId="0777C96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20.12具有颅内支架精晰显影功能</w:t>
            </w:r>
          </w:p>
          <w:p w14:paraId="208F2C7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20.13选取最佳三维图像角度时，机架角度能够跟踪三维图像视角变化</w:t>
            </w:r>
          </w:p>
          <w:p w14:paraId="624081C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21双期类CT成像功能</w:t>
            </w:r>
          </w:p>
          <w:p w14:paraId="73B8CBB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21.1通过C臂进行一次往复扫描，即可得到两个不同时相的类CT图像，如肝脏肿瘤增强扫描的动脉期和实质期，采用并行显示功能，可以分割多发肿瘤病灶。</w:t>
            </w:r>
          </w:p>
          <w:p w14:paraId="542CBDF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21.2具备提前预设延时间隔时间功能程序</w:t>
            </w:r>
          </w:p>
          <w:p w14:paraId="344A713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21.3可实现动脉期与实质期图像融合显示。</w:t>
            </w:r>
          </w:p>
          <w:p w14:paraId="1508779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22开放式双期类CT成像功能</w:t>
            </w:r>
          </w:p>
          <w:p w14:paraId="78108CF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22.1既可以实现病人等中心的扫描，同时具备偏中心扫描模式，即可实现整个肝脏为中心的影像，提高肝脏的覆盖区域。</w:t>
            </w:r>
          </w:p>
          <w:p w14:paraId="73A9E90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22.2扫描起止范围LAO：≥55度，RAO：≥185度</w:t>
            </w:r>
          </w:p>
          <w:p w14:paraId="4E8E006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22.3采集帧速率：≥60帧/秒</w:t>
            </w:r>
          </w:p>
          <w:p w14:paraId="2E12D75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23大血管结构融合导航</w:t>
            </w:r>
          </w:p>
          <w:p w14:paraId="1E0EB1C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23.1检查血管和设备的位置，通过矫直、弯曲和横截面的重新格式来支持治疗计划</w:t>
            </w:r>
          </w:p>
          <w:p w14:paraId="56167F9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23.2在血管段的直形重构视图中，曲率从血管中提取，同时保留纵向和角度位置，包含显示血管直径沿段的图形</w:t>
            </w:r>
          </w:p>
          <w:p w14:paraId="344C2A5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23.3增强导丝的可视性，拉伸的血管视图允许您在三个位置测量血管/管腔的直径和段/狭窄的长度</w:t>
            </w:r>
          </w:p>
          <w:p w14:paraId="4666761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23.4环形标志可以用来标记血管支线</w:t>
            </w:r>
          </w:p>
          <w:p w14:paraId="0F08851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24售后要求</w:t>
            </w:r>
          </w:p>
          <w:p w14:paraId="7BDEEE9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24.1负责设备到货搬运和安装就位。中标人负责机房结构、电源、线路等技术参数的设计，并提供图纸，以符合装机要求。中标人应派遣有经验工程师对设备进行的安装和调试，确保安装质量达到产品出厂技术标准。装机时间不超过 20天。</w:t>
            </w:r>
          </w:p>
          <w:p w14:paraId="00ABA8C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24.2提供整机免费保修 1年，保修期自设备安装完毕开始计算。保修期间要确保系统的正常运行，保证全年开机率(按365天/年计算)不低于95%，如达不到此标准，需按1：3（停机一天延长三天）天数延长，延长期中出现停机按同样比例要求延长保修期。</w:t>
            </w:r>
          </w:p>
          <w:p w14:paraId="099A7BB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24.3设有专用报修电话，保证在接到设备故障报修通知后，维修工程师2小时内响应，6小时内到达现场检修，保修期内外（包括休息日和节假日）均能派出维修工程师到达现场维修。</w:t>
            </w:r>
          </w:p>
          <w:p w14:paraId="7627ABB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24.4中标人应免费对采购人操作、维修人员进行一定时期内分期分批的正规的整套设备操作、维修、检测等内容的技术培训。</w:t>
            </w:r>
          </w:p>
          <w:p w14:paraId="721E6FB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24.5随机提供操作说明书（含中英文）及维修说明书。</w:t>
            </w:r>
          </w:p>
          <w:p w14:paraId="1646861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24.6免费提供设备远程维修支持</w:t>
            </w:r>
          </w:p>
          <w:p w14:paraId="76377EC6">
            <w:pPr>
              <w:widowControl/>
              <w:tabs>
                <w:tab w:val="left" w:pos="420"/>
                <w:tab w:val="left" w:pos="900"/>
              </w:tabs>
              <w:rPr>
                <w:rFonts w:hint="default" w:ascii="宋体" w:hAnsi="宋体" w:eastAsia="宋体" w:cs="Arial"/>
                <w:color w:val="auto"/>
                <w:kern w:val="0"/>
                <w:sz w:val="24"/>
                <w:szCs w:val="24"/>
                <w:highlight w:val="none"/>
                <w:lang w:val="en-US" w:eastAsia="zh-CN"/>
              </w:rPr>
            </w:pPr>
            <w:r>
              <w:rPr>
                <w:rFonts w:hint="eastAsia" w:ascii="宋体" w:hAnsi="宋体" w:eastAsia="宋体" w:cs="Arial"/>
                <w:color w:val="auto"/>
                <w:kern w:val="0"/>
                <w:sz w:val="24"/>
                <w:szCs w:val="24"/>
                <w:highlight w:val="none"/>
                <w:lang w:val="en-US" w:eastAsia="zh-CN"/>
              </w:rPr>
              <w:t>25.</w:t>
            </w:r>
            <w:r>
              <w:rPr>
                <w:rFonts w:hint="eastAsia" w:ascii="宋体" w:hAnsi="宋体" w:eastAsia="宋体" w:cs="Arial"/>
                <w:color w:val="auto"/>
                <w:kern w:val="0"/>
                <w:sz w:val="24"/>
                <w:szCs w:val="24"/>
                <w:highlight w:val="none"/>
              </w:rPr>
              <w:t>配套设施：</w:t>
            </w:r>
          </w:p>
          <w:p w14:paraId="4CEA5ABB">
            <w:pPr>
              <w:widowControl/>
              <w:tabs>
                <w:tab w:val="left" w:pos="420"/>
                <w:tab w:val="left" w:pos="900"/>
              </w:tabs>
              <w:rPr>
                <w:rFonts w:hint="default" w:ascii="宋体" w:hAnsi="宋体" w:eastAsia="宋体" w:cs="Arial"/>
                <w:color w:val="auto"/>
                <w:kern w:val="0"/>
                <w:sz w:val="24"/>
                <w:szCs w:val="24"/>
                <w:highlight w:val="none"/>
                <w:lang w:val="en-US" w:eastAsia="zh-CN"/>
              </w:rPr>
            </w:pPr>
            <w:r>
              <w:rPr>
                <w:rFonts w:hint="eastAsia" w:ascii="宋体" w:hAnsi="宋体" w:eastAsia="宋体" w:cs="Arial"/>
                <w:color w:val="auto"/>
                <w:kern w:val="0"/>
                <w:sz w:val="24"/>
                <w:szCs w:val="24"/>
                <w:highlight w:val="none"/>
              </w:rPr>
              <w:t>1.高压注射器*1</w:t>
            </w:r>
          </w:p>
          <w:p w14:paraId="4D2FBA8B">
            <w:pPr>
              <w:widowControl/>
              <w:tabs>
                <w:tab w:val="left" w:pos="420"/>
                <w:tab w:val="left" w:pos="900"/>
              </w:tabs>
              <w:rPr>
                <w:rFonts w:hint="eastAsia" w:ascii="宋体" w:hAnsi="宋体" w:eastAsia="宋体" w:cs="Arial"/>
                <w:color w:val="auto"/>
                <w:kern w:val="0"/>
                <w:sz w:val="24"/>
                <w:szCs w:val="24"/>
                <w:highlight w:val="none"/>
                <w:lang w:val="en-US" w:eastAsia="zh-CN"/>
              </w:rPr>
            </w:pPr>
            <w:r>
              <w:rPr>
                <w:rFonts w:hint="eastAsia" w:ascii="宋体" w:hAnsi="宋体" w:eastAsia="宋体" w:cs="Arial"/>
                <w:color w:val="auto"/>
                <w:kern w:val="0"/>
                <w:sz w:val="24"/>
                <w:szCs w:val="24"/>
                <w:highlight w:val="none"/>
              </w:rPr>
              <w:t>2.DSA适配心电监护仪*1</w:t>
            </w:r>
          </w:p>
          <w:p w14:paraId="5036A35A">
            <w:pPr>
              <w:widowControl/>
              <w:tabs>
                <w:tab w:val="left" w:pos="420"/>
                <w:tab w:val="left" w:pos="900"/>
              </w:tabs>
              <w:rPr>
                <w:rFonts w:hint="eastAsia" w:ascii="宋体" w:hAnsi="宋体" w:eastAsia="宋体" w:cs="Arial"/>
                <w:color w:val="auto"/>
                <w:kern w:val="0"/>
                <w:sz w:val="24"/>
                <w:szCs w:val="24"/>
                <w:highlight w:val="none"/>
                <w:lang w:val="en-US" w:eastAsia="zh-CN"/>
              </w:rPr>
            </w:pPr>
            <w:r>
              <w:rPr>
                <w:rFonts w:hint="eastAsia" w:ascii="宋体" w:hAnsi="宋体" w:eastAsia="宋体" w:cs="Arial"/>
                <w:color w:val="auto"/>
                <w:kern w:val="0"/>
                <w:sz w:val="24"/>
                <w:szCs w:val="24"/>
                <w:highlight w:val="none"/>
              </w:rPr>
              <w:t>3.铅衣消毒柜*1</w:t>
            </w:r>
          </w:p>
          <w:p w14:paraId="5C94BBD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4.医用保温仪*1</w:t>
            </w:r>
          </w:p>
          <w:p w14:paraId="1E0773E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5.不锈钢麻醉柜车*4</w:t>
            </w:r>
          </w:p>
          <w:p w14:paraId="46968DE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6.铅衣*15（无铅铅衣）</w:t>
            </w:r>
          </w:p>
          <w:p w14:paraId="2FD4B916">
            <w:pPr>
              <w:widowControl/>
              <w:tabs>
                <w:tab w:val="left" w:pos="420"/>
                <w:tab w:val="left" w:pos="900"/>
              </w:tabs>
              <w:rPr>
                <w:rFonts w:hint="default" w:eastAsia="宋体"/>
                <w:color w:val="auto"/>
                <w:highlight w:val="none"/>
                <w:lang w:val="en-US" w:eastAsia="zh-CN"/>
              </w:rPr>
            </w:pPr>
            <w:r>
              <w:rPr>
                <w:rFonts w:hint="eastAsia" w:ascii="宋体" w:hAnsi="宋体" w:eastAsia="宋体" w:cs="Arial"/>
                <w:color w:val="auto"/>
                <w:kern w:val="0"/>
                <w:sz w:val="24"/>
                <w:szCs w:val="24"/>
                <w:highlight w:val="none"/>
              </w:rPr>
              <w:t>7.患者沟通室显示屏*1</w:t>
            </w:r>
          </w:p>
        </w:tc>
        <w:tc>
          <w:tcPr>
            <w:tcW w:w="454" w:type="pct"/>
            <w:tcBorders>
              <w:top w:val="single" w:color="auto" w:sz="4" w:space="0"/>
              <w:left w:val="nil"/>
              <w:bottom w:val="single" w:color="auto" w:sz="4" w:space="0"/>
              <w:right w:val="single" w:color="auto" w:sz="4" w:space="0"/>
            </w:tcBorders>
            <w:shd w:val="clear" w:color="auto" w:fill="FFFFFF"/>
            <w:vAlign w:val="center"/>
          </w:tcPr>
          <w:p w14:paraId="649DB795">
            <w:pPr>
              <w:widowControl/>
              <w:tabs>
                <w:tab w:val="left" w:pos="900"/>
              </w:tabs>
              <w:jc w:val="center"/>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套</w:t>
            </w:r>
          </w:p>
        </w:tc>
        <w:tc>
          <w:tcPr>
            <w:tcW w:w="454" w:type="pct"/>
            <w:tcBorders>
              <w:top w:val="single" w:color="auto" w:sz="4" w:space="0"/>
              <w:left w:val="nil"/>
              <w:bottom w:val="single" w:color="auto" w:sz="4" w:space="0"/>
              <w:right w:val="single" w:color="auto" w:sz="4" w:space="0"/>
            </w:tcBorders>
            <w:shd w:val="clear" w:color="auto" w:fill="FFFFFF"/>
            <w:vAlign w:val="center"/>
          </w:tcPr>
          <w:p w14:paraId="5BC046F4">
            <w:pPr>
              <w:widowControl/>
              <w:tabs>
                <w:tab w:val="left" w:pos="900"/>
              </w:tabs>
              <w:jc w:val="center"/>
              <w:textAlignment w:val="center"/>
              <w:rPr>
                <w:rFonts w:hint="eastAsia" w:ascii="宋体" w:hAnsi="宋体" w:eastAsia="宋体" w:cs="Arial"/>
                <w:color w:val="auto"/>
                <w:kern w:val="0"/>
                <w:sz w:val="24"/>
                <w:szCs w:val="24"/>
                <w:highlight w:val="none"/>
                <w:lang w:eastAsia="zh-CN"/>
              </w:rPr>
            </w:pPr>
            <w:r>
              <w:rPr>
                <w:rFonts w:hint="eastAsia" w:ascii="宋体" w:hAnsi="宋体" w:eastAsia="宋体" w:cs="Arial"/>
                <w:color w:val="auto"/>
                <w:kern w:val="0"/>
                <w:sz w:val="24"/>
                <w:szCs w:val="24"/>
                <w:highlight w:val="none"/>
                <w:lang w:val="en-US" w:eastAsia="zh-CN"/>
              </w:rPr>
              <w:t>1</w:t>
            </w:r>
          </w:p>
        </w:tc>
        <w:tc>
          <w:tcPr>
            <w:tcW w:w="618" w:type="pct"/>
            <w:tcBorders>
              <w:top w:val="single" w:color="auto" w:sz="4" w:space="0"/>
              <w:left w:val="nil"/>
              <w:bottom w:val="single" w:color="auto" w:sz="4" w:space="0"/>
              <w:right w:val="single" w:color="auto" w:sz="4" w:space="0"/>
            </w:tcBorders>
            <w:vAlign w:val="center"/>
          </w:tcPr>
          <w:p w14:paraId="77F9D2E9">
            <w:pPr>
              <w:widowControl/>
              <w:jc w:val="center"/>
              <w:rPr>
                <w:rFonts w:hint="eastAsia" w:ascii="宋体" w:hAnsi="宋体" w:eastAsia="宋体" w:cs="Arial"/>
                <w:color w:val="auto"/>
                <w:kern w:val="0"/>
                <w:sz w:val="24"/>
                <w:szCs w:val="24"/>
                <w:highlight w:val="none"/>
                <w:lang w:eastAsia="zh-CN"/>
              </w:rPr>
            </w:pPr>
            <w:r>
              <w:rPr>
                <w:rFonts w:hint="eastAsia" w:ascii="宋体" w:hAnsi="宋体" w:eastAsia="宋体" w:cs="Arial"/>
                <w:color w:val="auto"/>
                <w:kern w:val="0"/>
                <w:sz w:val="24"/>
                <w:szCs w:val="24"/>
                <w:highlight w:val="none"/>
                <w:lang w:val="en-US" w:eastAsia="zh-CN"/>
              </w:rPr>
              <w:t>是</w:t>
            </w:r>
          </w:p>
        </w:tc>
      </w:tr>
    </w:tbl>
    <w:p w14:paraId="2F24A336">
      <w:pPr>
        <w:spacing w:line="360" w:lineRule="auto"/>
        <w:rPr>
          <w:rFonts w:hint="eastAsia" w:ascii="宋体" w:hAnsi="宋体" w:eastAsia="宋体" w:cs="宋体"/>
          <w:bCs/>
          <w:color w:val="auto"/>
          <w:sz w:val="24"/>
          <w:szCs w:val="24"/>
          <w:highlight w:val="none"/>
        </w:rPr>
      </w:pPr>
    </w:p>
    <w:p w14:paraId="253D2DA2">
      <w:pPr>
        <w:keepNext w:val="0"/>
        <w:keepLines w:val="0"/>
        <w:pageBreakBefore/>
        <w:widowControl w:val="0"/>
        <w:kinsoku/>
        <w:wordWrap/>
        <w:overflowPunct/>
        <w:topLinePunct w:val="0"/>
        <w:autoSpaceDE/>
        <w:autoSpaceDN/>
        <w:bidi w:val="0"/>
        <w:adjustRightInd/>
        <w:snapToGrid/>
        <w:spacing w:line="360" w:lineRule="auto"/>
        <w:ind w:firstLine="437"/>
        <w:textAlignment w:val="auto"/>
        <w:outlineLvl w:val="2"/>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0</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包：</w:t>
      </w:r>
    </w:p>
    <w:tbl>
      <w:tblPr>
        <w:tblStyle w:val="2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5"/>
        <w:gridCol w:w="1442"/>
        <w:gridCol w:w="3882"/>
        <w:gridCol w:w="774"/>
        <w:gridCol w:w="774"/>
        <w:gridCol w:w="1055"/>
      </w:tblGrid>
      <w:tr w14:paraId="69D76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9" w:type="pct"/>
            <w:tcBorders>
              <w:top w:val="single" w:color="auto" w:sz="4" w:space="0"/>
              <w:left w:val="single" w:color="auto" w:sz="4" w:space="0"/>
              <w:bottom w:val="single" w:color="auto" w:sz="4" w:space="0"/>
              <w:right w:val="single" w:color="auto" w:sz="4" w:space="0"/>
            </w:tcBorders>
            <w:shd w:val="clear" w:color="auto" w:fill="FFFFFF"/>
            <w:vAlign w:val="center"/>
          </w:tcPr>
          <w:p w14:paraId="1EC2973D">
            <w:pPr>
              <w:widowControl/>
              <w:tabs>
                <w:tab w:val="left" w:pos="420"/>
                <w:tab w:val="left" w:pos="900"/>
              </w:tabs>
              <w:jc w:val="center"/>
              <w:rPr>
                <w:rFonts w:hint="eastAsia" w:ascii="宋体" w:hAnsi="宋体" w:eastAsia="宋体" w:cs="Arial"/>
                <w:b/>
                <w:bCs/>
                <w:color w:val="auto"/>
                <w:kern w:val="0"/>
                <w:sz w:val="24"/>
                <w:szCs w:val="24"/>
                <w:highlight w:val="none"/>
              </w:rPr>
            </w:pPr>
            <w:r>
              <w:rPr>
                <w:rFonts w:hint="eastAsia" w:ascii="宋体" w:hAnsi="宋体" w:eastAsia="宋体" w:cs="Arial"/>
                <w:b/>
                <w:bCs/>
                <w:color w:val="auto"/>
                <w:kern w:val="0"/>
                <w:sz w:val="24"/>
                <w:szCs w:val="24"/>
                <w:highlight w:val="none"/>
              </w:rPr>
              <w:t>序号</w:t>
            </w:r>
          </w:p>
        </w:tc>
        <w:tc>
          <w:tcPr>
            <w:tcW w:w="846" w:type="pct"/>
            <w:tcBorders>
              <w:top w:val="single" w:color="auto" w:sz="4" w:space="0"/>
              <w:left w:val="nil"/>
              <w:bottom w:val="single" w:color="auto" w:sz="4" w:space="0"/>
              <w:right w:val="single" w:color="auto" w:sz="4" w:space="0"/>
            </w:tcBorders>
            <w:shd w:val="clear" w:color="auto" w:fill="FFFFFF"/>
            <w:vAlign w:val="center"/>
          </w:tcPr>
          <w:p w14:paraId="0018A3E9">
            <w:pPr>
              <w:widowControl/>
              <w:tabs>
                <w:tab w:val="left" w:pos="420"/>
                <w:tab w:val="left" w:pos="900"/>
              </w:tabs>
              <w:jc w:val="center"/>
              <w:rPr>
                <w:rFonts w:hint="eastAsia" w:ascii="宋体" w:hAnsi="宋体" w:eastAsia="宋体" w:cs="Arial"/>
                <w:b/>
                <w:bCs/>
                <w:color w:val="auto"/>
                <w:kern w:val="0"/>
                <w:sz w:val="24"/>
                <w:szCs w:val="24"/>
                <w:highlight w:val="none"/>
              </w:rPr>
            </w:pPr>
            <w:r>
              <w:rPr>
                <w:rFonts w:hint="eastAsia" w:ascii="宋体" w:hAnsi="宋体" w:eastAsia="宋体" w:cs="Arial"/>
                <w:b/>
                <w:bCs/>
                <w:color w:val="auto"/>
                <w:kern w:val="0"/>
                <w:sz w:val="24"/>
                <w:szCs w:val="24"/>
                <w:highlight w:val="none"/>
              </w:rPr>
              <w:t>货物名称</w:t>
            </w:r>
          </w:p>
        </w:tc>
        <w:tc>
          <w:tcPr>
            <w:tcW w:w="2277" w:type="pct"/>
            <w:tcBorders>
              <w:top w:val="single" w:color="auto" w:sz="4" w:space="0"/>
              <w:left w:val="nil"/>
              <w:bottom w:val="single" w:color="auto" w:sz="4" w:space="0"/>
              <w:right w:val="single" w:color="auto" w:sz="4" w:space="0"/>
            </w:tcBorders>
            <w:shd w:val="clear" w:color="auto" w:fill="FFFFFF"/>
            <w:vAlign w:val="center"/>
          </w:tcPr>
          <w:p w14:paraId="0880E020">
            <w:pPr>
              <w:widowControl/>
              <w:tabs>
                <w:tab w:val="left" w:pos="420"/>
                <w:tab w:val="left" w:pos="900"/>
              </w:tabs>
              <w:jc w:val="center"/>
              <w:rPr>
                <w:rFonts w:hint="eastAsia" w:ascii="宋体" w:hAnsi="宋体" w:eastAsia="宋体" w:cs="Arial"/>
                <w:b/>
                <w:bCs/>
                <w:color w:val="auto"/>
                <w:kern w:val="0"/>
                <w:sz w:val="24"/>
                <w:szCs w:val="24"/>
                <w:highlight w:val="none"/>
              </w:rPr>
            </w:pPr>
            <w:r>
              <w:rPr>
                <w:rFonts w:hint="eastAsia" w:ascii="宋体" w:hAnsi="宋体" w:eastAsia="宋体" w:cs="Arial"/>
                <w:b/>
                <w:bCs/>
                <w:color w:val="auto"/>
                <w:kern w:val="0"/>
                <w:sz w:val="24"/>
                <w:szCs w:val="24"/>
                <w:highlight w:val="none"/>
              </w:rPr>
              <w:t>技术参数及要求</w:t>
            </w:r>
          </w:p>
        </w:tc>
        <w:tc>
          <w:tcPr>
            <w:tcW w:w="454" w:type="pct"/>
            <w:tcBorders>
              <w:top w:val="single" w:color="auto" w:sz="4" w:space="0"/>
              <w:left w:val="nil"/>
              <w:bottom w:val="single" w:color="auto" w:sz="4" w:space="0"/>
              <w:right w:val="single" w:color="auto" w:sz="4" w:space="0"/>
            </w:tcBorders>
            <w:shd w:val="clear" w:color="auto" w:fill="FFFFFF"/>
            <w:vAlign w:val="center"/>
          </w:tcPr>
          <w:p w14:paraId="7C4408C1">
            <w:pPr>
              <w:widowControl/>
              <w:tabs>
                <w:tab w:val="left" w:pos="420"/>
                <w:tab w:val="left" w:pos="900"/>
              </w:tabs>
              <w:jc w:val="center"/>
              <w:rPr>
                <w:rFonts w:hint="eastAsia" w:ascii="宋体" w:hAnsi="宋体" w:eastAsia="宋体" w:cs="Arial"/>
                <w:b/>
                <w:bCs/>
                <w:color w:val="auto"/>
                <w:kern w:val="0"/>
                <w:sz w:val="24"/>
                <w:szCs w:val="24"/>
                <w:highlight w:val="none"/>
              </w:rPr>
            </w:pPr>
            <w:r>
              <w:rPr>
                <w:rFonts w:hint="eastAsia" w:ascii="宋体" w:hAnsi="宋体" w:eastAsia="宋体" w:cs="Arial"/>
                <w:b/>
                <w:bCs/>
                <w:color w:val="auto"/>
                <w:kern w:val="0"/>
                <w:sz w:val="24"/>
                <w:szCs w:val="24"/>
                <w:highlight w:val="none"/>
              </w:rPr>
              <w:t>单位</w:t>
            </w:r>
          </w:p>
        </w:tc>
        <w:tc>
          <w:tcPr>
            <w:tcW w:w="454" w:type="pct"/>
            <w:tcBorders>
              <w:top w:val="single" w:color="auto" w:sz="4" w:space="0"/>
              <w:left w:val="nil"/>
              <w:bottom w:val="single" w:color="auto" w:sz="4" w:space="0"/>
              <w:right w:val="single" w:color="auto" w:sz="4" w:space="0"/>
            </w:tcBorders>
            <w:shd w:val="clear" w:color="auto" w:fill="FFFFFF"/>
            <w:vAlign w:val="center"/>
          </w:tcPr>
          <w:p w14:paraId="33D9266A">
            <w:pPr>
              <w:widowControl/>
              <w:tabs>
                <w:tab w:val="left" w:pos="420"/>
                <w:tab w:val="left" w:pos="900"/>
              </w:tabs>
              <w:jc w:val="center"/>
              <w:rPr>
                <w:rFonts w:hint="eastAsia" w:ascii="宋体" w:hAnsi="宋体" w:eastAsia="宋体" w:cs="Arial"/>
                <w:b/>
                <w:bCs/>
                <w:color w:val="auto"/>
                <w:kern w:val="0"/>
                <w:sz w:val="24"/>
                <w:szCs w:val="24"/>
                <w:highlight w:val="none"/>
              </w:rPr>
            </w:pPr>
            <w:r>
              <w:rPr>
                <w:rFonts w:hint="eastAsia" w:ascii="宋体" w:hAnsi="宋体" w:eastAsia="宋体" w:cs="Arial"/>
                <w:b/>
                <w:bCs/>
                <w:color w:val="auto"/>
                <w:kern w:val="0"/>
                <w:sz w:val="24"/>
                <w:szCs w:val="24"/>
                <w:highlight w:val="none"/>
              </w:rPr>
              <w:t>采购数量</w:t>
            </w:r>
          </w:p>
        </w:tc>
        <w:tc>
          <w:tcPr>
            <w:tcW w:w="618" w:type="pct"/>
            <w:tcBorders>
              <w:top w:val="single" w:color="auto" w:sz="4" w:space="0"/>
              <w:left w:val="nil"/>
              <w:bottom w:val="single" w:color="auto" w:sz="4" w:space="0"/>
              <w:right w:val="single" w:color="auto" w:sz="4" w:space="0"/>
            </w:tcBorders>
            <w:shd w:val="clear" w:color="auto" w:fill="FFFFFF"/>
            <w:vAlign w:val="center"/>
          </w:tcPr>
          <w:p w14:paraId="0D4ACB2E">
            <w:pPr>
              <w:widowControl/>
              <w:tabs>
                <w:tab w:val="left" w:pos="420"/>
                <w:tab w:val="left" w:pos="900"/>
              </w:tabs>
              <w:jc w:val="center"/>
              <w:rPr>
                <w:rFonts w:hint="eastAsia" w:ascii="宋体" w:hAnsi="宋体" w:eastAsia="宋体" w:cs="Arial"/>
                <w:b/>
                <w:bCs/>
                <w:color w:val="auto"/>
                <w:kern w:val="0"/>
                <w:sz w:val="24"/>
                <w:szCs w:val="24"/>
                <w:highlight w:val="none"/>
              </w:rPr>
            </w:pPr>
            <w:r>
              <w:rPr>
                <w:rFonts w:hint="eastAsia" w:ascii="宋体" w:hAnsi="宋体" w:eastAsia="宋体" w:cs="Arial"/>
                <w:b/>
                <w:bCs/>
                <w:color w:val="auto"/>
                <w:kern w:val="0"/>
                <w:sz w:val="24"/>
                <w:szCs w:val="24"/>
                <w:highlight w:val="none"/>
              </w:rPr>
              <w:t>是否为核心产品</w:t>
            </w:r>
          </w:p>
        </w:tc>
      </w:tr>
      <w:tr w14:paraId="7FC2C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9" w:type="pct"/>
            <w:tcBorders>
              <w:top w:val="single" w:color="auto" w:sz="4" w:space="0"/>
              <w:left w:val="single" w:color="auto" w:sz="4" w:space="0"/>
              <w:bottom w:val="single" w:color="auto" w:sz="4" w:space="0"/>
              <w:right w:val="single" w:color="auto" w:sz="4" w:space="0"/>
            </w:tcBorders>
            <w:shd w:val="clear" w:color="auto" w:fill="FFFFFF"/>
            <w:vAlign w:val="center"/>
          </w:tcPr>
          <w:p w14:paraId="1C3F960A">
            <w:pPr>
              <w:widowControl/>
              <w:tabs>
                <w:tab w:val="left" w:pos="420"/>
                <w:tab w:val="left" w:pos="900"/>
              </w:tabs>
              <w:jc w:val="center"/>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w:t>
            </w:r>
          </w:p>
        </w:tc>
        <w:tc>
          <w:tcPr>
            <w:tcW w:w="846" w:type="pct"/>
            <w:tcBorders>
              <w:top w:val="single" w:color="auto" w:sz="4" w:space="0"/>
              <w:left w:val="nil"/>
              <w:bottom w:val="single" w:color="auto" w:sz="4" w:space="0"/>
              <w:right w:val="single" w:color="auto" w:sz="4" w:space="0"/>
            </w:tcBorders>
            <w:shd w:val="clear" w:color="auto" w:fill="FFFFFF"/>
            <w:vAlign w:val="center"/>
          </w:tcPr>
          <w:p w14:paraId="272CAA63">
            <w:pPr>
              <w:widowControl/>
              <w:tabs>
                <w:tab w:val="left" w:pos="900"/>
              </w:tabs>
              <w:jc w:val="center"/>
              <w:textAlignment w:val="center"/>
              <w:rPr>
                <w:rFonts w:hint="default" w:ascii="宋体" w:hAnsi="宋体" w:eastAsia="宋体" w:cs="Arial"/>
                <w:color w:val="auto"/>
                <w:kern w:val="0"/>
                <w:sz w:val="24"/>
                <w:szCs w:val="24"/>
                <w:highlight w:val="none"/>
                <w:lang w:val="en-US" w:eastAsia="zh-CN"/>
              </w:rPr>
            </w:pPr>
            <w:r>
              <w:rPr>
                <w:rFonts w:hint="eastAsia" w:ascii="宋体" w:hAnsi="宋体" w:eastAsia="宋体" w:cs="Arial"/>
                <w:color w:val="auto"/>
                <w:kern w:val="0"/>
                <w:sz w:val="24"/>
                <w:szCs w:val="24"/>
                <w:highlight w:val="none"/>
                <w:lang w:val="en-US" w:eastAsia="zh-CN"/>
              </w:rPr>
              <w:t>DR</w:t>
            </w:r>
          </w:p>
        </w:tc>
        <w:tc>
          <w:tcPr>
            <w:tcW w:w="2277" w:type="pct"/>
            <w:tcBorders>
              <w:top w:val="single" w:color="auto" w:sz="4" w:space="0"/>
              <w:left w:val="nil"/>
              <w:bottom w:val="single" w:color="auto" w:sz="4" w:space="0"/>
              <w:right w:val="single" w:color="auto" w:sz="4" w:space="0"/>
            </w:tcBorders>
            <w:shd w:val="clear" w:color="auto" w:fill="FFFFFF"/>
            <w:vAlign w:val="center"/>
          </w:tcPr>
          <w:p w14:paraId="52AC238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总体要求：通过X射线系统和数字平板探测器成像捕获系统，能方便地对全身包括胸部、四肢、头颅和腹部等部位进行立位、卧位和坐轮椅病人的检查，完成高分辨的数字化成像和自动影像处理。</w:t>
            </w:r>
          </w:p>
          <w:p w14:paraId="3ADADAF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一</w:t>
            </w:r>
            <w:r>
              <w:rPr>
                <w:rFonts w:hint="eastAsia" w:ascii="宋体" w:hAnsi="宋体" w:eastAsia="宋体" w:cs="Arial"/>
                <w:color w:val="auto"/>
                <w:kern w:val="0"/>
                <w:sz w:val="24"/>
                <w:szCs w:val="24"/>
                <w:highlight w:val="none"/>
                <w:lang w:eastAsia="zh-CN"/>
              </w:rPr>
              <w:t>、</w:t>
            </w:r>
            <w:r>
              <w:rPr>
                <w:rFonts w:hint="eastAsia" w:ascii="宋体" w:hAnsi="宋体" w:eastAsia="宋体" w:cs="Arial"/>
                <w:color w:val="auto"/>
                <w:kern w:val="0"/>
                <w:sz w:val="24"/>
                <w:szCs w:val="24"/>
                <w:highlight w:val="none"/>
              </w:rPr>
              <w:t>无线数字平板探测器（2块）</w:t>
            </w:r>
          </w:p>
          <w:p w14:paraId="051A226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▲1碘化铯非晶硅无线平板探测器，像素尺寸≤100微米，探测器像素矩阵≥4200x4200，且具备电缆供电的固定平板工作模式，平板探测器与主机同品牌。</w:t>
            </w:r>
          </w:p>
          <w:p w14:paraId="1C9053A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▲2最大空间分辨率≥5线对/毫米</w:t>
            </w:r>
          </w:p>
          <w:p w14:paraId="760A594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▲3DQE量子捕获效率（最大值）≥70%</w:t>
            </w:r>
          </w:p>
          <w:p w14:paraId="2474F97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4探测器外形尺寸规格≤46厘米x46厘米x1.5厘米</w:t>
            </w:r>
          </w:p>
          <w:p w14:paraId="5D6DD8B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5探测器重量≤3.5公斤</w:t>
            </w:r>
          </w:p>
          <w:p w14:paraId="0AFC30F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6A/D数模转换≥16比特</w:t>
            </w:r>
          </w:p>
          <w:p w14:paraId="7605127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▲7探测器电池可快速拆卸更换</w:t>
            </w:r>
          </w:p>
          <w:p w14:paraId="58F61E7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8主机具备探测器在线直接充电模式。</w:t>
            </w:r>
          </w:p>
          <w:p w14:paraId="7ACEB42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▲9防尘防水标准达到IP56级别.</w:t>
            </w:r>
          </w:p>
          <w:p w14:paraId="165B052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二</w:t>
            </w:r>
            <w:r>
              <w:rPr>
                <w:rFonts w:hint="eastAsia" w:ascii="宋体" w:hAnsi="宋体" w:eastAsia="宋体" w:cs="Arial"/>
                <w:color w:val="auto"/>
                <w:kern w:val="0"/>
                <w:sz w:val="24"/>
                <w:szCs w:val="24"/>
                <w:highlight w:val="none"/>
                <w:lang w:eastAsia="zh-CN"/>
              </w:rPr>
              <w:t>、</w:t>
            </w:r>
            <w:r>
              <w:rPr>
                <w:rFonts w:hint="eastAsia" w:ascii="宋体" w:hAnsi="宋体" w:eastAsia="宋体" w:cs="Arial"/>
                <w:color w:val="auto"/>
                <w:kern w:val="0"/>
                <w:sz w:val="24"/>
                <w:szCs w:val="24"/>
                <w:highlight w:val="none"/>
              </w:rPr>
              <w:t>X射线高压发生器</w:t>
            </w:r>
          </w:p>
          <w:p w14:paraId="2442851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▲1X射线高压发生器，与主机同一品牌。标称电功率≥80千瓦。</w:t>
            </w:r>
          </w:p>
          <w:p w14:paraId="5039F7E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▲2高压产生方式:最高开关频率≥240kHz</w:t>
            </w:r>
          </w:p>
          <w:p w14:paraId="33EBFAF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3管电压范围40-150千伏</w:t>
            </w:r>
          </w:p>
          <w:p w14:paraId="01ED4AA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4具备自动曝光量控制功能</w:t>
            </w:r>
          </w:p>
          <w:p w14:paraId="6AA7761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5最短曝光时间≤1毫秒</w:t>
            </w:r>
          </w:p>
          <w:p w14:paraId="3B5B3D3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6最长曝光时间≥6秒</w:t>
            </w:r>
          </w:p>
          <w:p w14:paraId="502308E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7摄影最小管电流≤10毫安；摄影最大管电流≥1000毫安。</w:t>
            </w:r>
          </w:p>
          <w:p w14:paraId="07203FB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▲8摄影最小电流时间积≤0.1毫安秒；摄影最大电流时间积≥1000毫安秒。</w:t>
            </w:r>
          </w:p>
          <w:p w14:paraId="312AE74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三</w:t>
            </w:r>
            <w:r>
              <w:rPr>
                <w:rFonts w:hint="eastAsia" w:ascii="宋体" w:hAnsi="宋体" w:eastAsia="宋体" w:cs="Arial"/>
                <w:color w:val="auto"/>
                <w:kern w:val="0"/>
                <w:sz w:val="24"/>
                <w:szCs w:val="24"/>
                <w:highlight w:val="none"/>
                <w:lang w:eastAsia="zh-CN"/>
              </w:rPr>
              <w:t>、</w:t>
            </w:r>
            <w:r>
              <w:rPr>
                <w:rFonts w:hint="eastAsia" w:ascii="宋体" w:hAnsi="宋体" w:eastAsia="宋体" w:cs="Arial"/>
                <w:color w:val="auto"/>
                <w:kern w:val="0"/>
                <w:sz w:val="24"/>
                <w:szCs w:val="24"/>
                <w:highlight w:val="none"/>
              </w:rPr>
              <w:t>X射线球管</w:t>
            </w:r>
          </w:p>
          <w:p w14:paraId="36D478B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1双焦点，焦点规格：小焦点≤0.6毫米，大焦点≤1.2毫米。</w:t>
            </w:r>
          </w:p>
          <w:p w14:paraId="2500B7F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▲2小焦点功率≥40千瓦，大焦点功率≥100千瓦。</w:t>
            </w:r>
          </w:p>
          <w:p w14:paraId="052C533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▲3阳极热容量≥400kHu</w:t>
            </w:r>
          </w:p>
          <w:p w14:paraId="68E26F1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4高速旋转阳极，阳极转速≥8000转/分钟。</w:t>
            </w:r>
          </w:p>
          <w:p w14:paraId="7DDA974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四</w:t>
            </w:r>
            <w:r>
              <w:rPr>
                <w:rFonts w:hint="eastAsia" w:ascii="宋体" w:hAnsi="宋体" w:eastAsia="宋体" w:cs="Arial"/>
                <w:color w:val="auto"/>
                <w:kern w:val="0"/>
                <w:sz w:val="24"/>
                <w:szCs w:val="24"/>
                <w:highlight w:val="none"/>
                <w:lang w:eastAsia="zh-CN"/>
              </w:rPr>
              <w:t>、</w:t>
            </w:r>
            <w:r>
              <w:rPr>
                <w:rFonts w:hint="eastAsia" w:ascii="宋体" w:hAnsi="宋体" w:eastAsia="宋体" w:cs="Arial"/>
                <w:color w:val="auto"/>
                <w:kern w:val="0"/>
                <w:sz w:val="24"/>
                <w:szCs w:val="24"/>
                <w:highlight w:val="none"/>
              </w:rPr>
              <w:t>X射线束光器</w:t>
            </w:r>
          </w:p>
          <w:p w14:paraId="5BAC1A4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1束光器具备手动调节投照视野方式以及根据预设自动控制投照视野</w:t>
            </w:r>
          </w:p>
          <w:p w14:paraId="60849B3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2束光器有LED射野灯光定时控制开关</w:t>
            </w:r>
          </w:p>
          <w:p w14:paraId="7670A37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3数字显示：SID,纵横向束光位置，X射线滤波板选择。</w:t>
            </w:r>
          </w:p>
          <w:p w14:paraId="447C69E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4束光器内置多片可供组合附加滤过片，可以组成多档位滤过板，档位数量≥3种。</w:t>
            </w:r>
          </w:p>
          <w:p w14:paraId="164068E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五</w:t>
            </w:r>
            <w:r>
              <w:rPr>
                <w:rFonts w:hint="eastAsia" w:ascii="宋体" w:hAnsi="宋体" w:eastAsia="宋体" w:cs="Arial"/>
                <w:color w:val="auto"/>
                <w:kern w:val="0"/>
                <w:sz w:val="24"/>
                <w:szCs w:val="24"/>
                <w:highlight w:val="none"/>
                <w:lang w:eastAsia="zh-CN"/>
              </w:rPr>
              <w:t>、</w:t>
            </w:r>
            <w:r>
              <w:rPr>
                <w:rFonts w:hint="eastAsia" w:ascii="宋体" w:hAnsi="宋体" w:eastAsia="宋体" w:cs="Arial"/>
                <w:color w:val="auto"/>
                <w:kern w:val="0"/>
                <w:sz w:val="24"/>
                <w:szCs w:val="24"/>
                <w:highlight w:val="none"/>
              </w:rPr>
              <w:t>悬吊式X射线球管机架</w:t>
            </w:r>
          </w:p>
          <w:p w14:paraId="40CC1E9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1五轴运动悬吊式X射线球管支架（水平面纵、横向；垂直方向；围绕水平轴、垂直轴旋转）。</w:t>
            </w:r>
          </w:p>
          <w:p w14:paraId="7B477EF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▲2X射线球管运动及旋转：水平面纵向X轴电动及手动驱动，水平面横向Y轴电动及手动驱动，垂直方向电动及手动升降，X线球管围绕水平轴电动及手动旋转。</w:t>
            </w:r>
          </w:p>
          <w:p w14:paraId="610E609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▲3X射线球管移动范围：水平面X轴≥310厘米，水平面Y轴≥220厘米,垂直方向升降≥150厘米。</w:t>
            </w:r>
          </w:p>
          <w:p w14:paraId="633E2E1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▲4X射线球管旋转角度范围：围绕垂直轴旋转角度范围≥+170/-155度；管围绕水平轴旋转角度范围≥+/-175度。</w:t>
            </w:r>
          </w:p>
          <w:p w14:paraId="10EA676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5悬吊X射线球管自动跟踪功能</w:t>
            </w:r>
          </w:p>
          <w:p w14:paraId="69BF92C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5.1X射线球管可以垂直方向跟踪检查床面升降；X射线球管可以在垂直对中状态或倾斜角度状态跟踪检查床的探测器托架左右移动。</w:t>
            </w:r>
          </w:p>
          <w:p w14:paraId="6DE9B41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5.2X射线球管可在垂直状态或倾斜状态下自动跟踪垂直或倾斜状态的胸片架探测器托架升降；水平状态的X线球管可以垂直跟踪胸片架水平状态的探测器托架垂直升降。</w:t>
            </w:r>
          </w:p>
          <w:p w14:paraId="01E4FE5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▲6悬吊X射线球管可在检查床及胸片架摄影位置进行全电动位置切换对中定位，同时也可在胸片架100厘米及180厘米双位置电动切换定位。</w:t>
            </w:r>
          </w:p>
          <w:p w14:paraId="0799817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7X射线球管端近台操作控制</w:t>
            </w:r>
          </w:p>
          <w:p w14:paraId="0698F77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7.1可以同步显示患者检查信息列表</w:t>
            </w:r>
          </w:p>
          <w:p w14:paraId="15AEC6E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7.2可以同步进行曝光界面操作：SID、球管角度显示，采集界面包括患者姓名、性别、检查体位、KV与mAs的显示及调节，AEC显示及选择，患者检查体型显示及设置，滤过显示。</w:t>
            </w:r>
          </w:p>
          <w:p w14:paraId="17624FC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▲7.3球管端近台操作屏，尺寸≥10英寸，可显示采集后的预览图像，并可确认操作。</w:t>
            </w:r>
          </w:p>
          <w:p w14:paraId="7C17756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8X射线球管端状态指示灯可指示：机架运动、曝光、设备故障、紧急制动等状态。</w:t>
            </w:r>
          </w:p>
          <w:p w14:paraId="62F0356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▲9红外遥控装置，可以控制包含：胸片架升降；束光器视野、指示灯控制；自动跟踪、自动定位等功能。</w:t>
            </w:r>
          </w:p>
          <w:p w14:paraId="7E6A989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六</w:t>
            </w:r>
            <w:r>
              <w:rPr>
                <w:rFonts w:hint="eastAsia" w:ascii="宋体" w:hAnsi="宋体" w:eastAsia="宋体" w:cs="Arial"/>
                <w:color w:val="auto"/>
                <w:kern w:val="0"/>
                <w:sz w:val="24"/>
                <w:szCs w:val="24"/>
                <w:highlight w:val="none"/>
                <w:lang w:eastAsia="zh-CN"/>
              </w:rPr>
              <w:t>、</w:t>
            </w:r>
            <w:r>
              <w:rPr>
                <w:rFonts w:hint="eastAsia" w:ascii="宋体" w:hAnsi="宋体" w:eastAsia="宋体" w:cs="Arial"/>
                <w:color w:val="auto"/>
                <w:kern w:val="0"/>
                <w:sz w:val="24"/>
                <w:szCs w:val="24"/>
                <w:highlight w:val="none"/>
              </w:rPr>
              <w:t>胸片架装置</w:t>
            </w:r>
          </w:p>
          <w:p w14:paraId="5539C0F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1探测器托架（bucky）垂直电动移动范围≥145厘米，翻转角度≥-20度-+90度。</w:t>
            </w:r>
          </w:p>
          <w:p w14:paraId="742BF0F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2探测器托架支持43厘米X43厘米型探测器</w:t>
            </w:r>
          </w:p>
          <w:p w14:paraId="5057C16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3电离室自动曝光</w:t>
            </w:r>
          </w:p>
          <w:p w14:paraId="0674256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4可更换滤线栅装置，滤线栅密度≥40线/厘米，栅格比≥10:1，摄影焦距满足100厘米-180厘米。。</w:t>
            </w:r>
          </w:p>
          <w:p w14:paraId="23EED5B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▲5立柱顶端状态指示灯可指示：机架运动、曝光、设备故障、紧急制动等状态。</w:t>
            </w:r>
          </w:p>
          <w:p w14:paraId="29A5C45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6为保证胸片架安全性和稳定性，要求胸片盒与立柱连接支点位于胸片盒后方，非侧方的设计</w:t>
            </w:r>
          </w:p>
          <w:p w14:paraId="183051D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七</w:t>
            </w:r>
            <w:r>
              <w:rPr>
                <w:rFonts w:hint="eastAsia" w:ascii="宋体" w:hAnsi="宋体" w:eastAsia="宋体" w:cs="Arial"/>
                <w:color w:val="auto"/>
                <w:kern w:val="0"/>
                <w:sz w:val="24"/>
                <w:szCs w:val="24"/>
                <w:highlight w:val="none"/>
                <w:lang w:eastAsia="zh-CN"/>
              </w:rPr>
              <w:t>、</w:t>
            </w:r>
            <w:r>
              <w:rPr>
                <w:rFonts w:hint="eastAsia" w:ascii="宋体" w:hAnsi="宋体" w:eastAsia="宋体" w:cs="Arial"/>
                <w:color w:val="auto"/>
                <w:kern w:val="0"/>
                <w:sz w:val="24"/>
                <w:szCs w:val="24"/>
                <w:highlight w:val="none"/>
              </w:rPr>
              <w:t>固定检查床装置</w:t>
            </w:r>
          </w:p>
          <w:p w14:paraId="1A00144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1床面四方向浮动、升降固定安装检查床，可电动升降，升降范围≥27厘米。</w:t>
            </w:r>
          </w:p>
          <w:p w14:paraId="6E01BA5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2床面水平横向移动≥±14厘米</w:t>
            </w:r>
          </w:p>
          <w:p w14:paraId="6DB413A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3床面水平纵向移动≥±38厘米</w:t>
            </w:r>
          </w:p>
          <w:p w14:paraId="437E855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4检查床探测器托架支持43厘米X43厘米规格探测器</w:t>
            </w:r>
          </w:p>
          <w:p w14:paraId="0736BAA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5脚踏式控制床面运动</w:t>
            </w:r>
          </w:p>
          <w:p w14:paraId="0281FE6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6可更换滤线栅装置，滤线栅密度≥40线/厘米，栅格比≥10:1。</w:t>
            </w:r>
          </w:p>
          <w:p w14:paraId="4EFD584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7床面最大承重≥290KG</w:t>
            </w:r>
          </w:p>
          <w:p w14:paraId="38EADA9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8电离室自动曝光控制</w:t>
            </w:r>
          </w:p>
          <w:p w14:paraId="30B4236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▲9双模式控制检查床运动：可通过床面侧导轨安装的控制手柄及脚踏式开关控制检查床面的升降及浮动，床面侧导轨安装的控制手柄可激活自动跟踪功能</w:t>
            </w:r>
          </w:p>
          <w:p w14:paraId="21B63ED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八</w:t>
            </w:r>
            <w:r>
              <w:rPr>
                <w:rFonts w:hint="eastAsia" w:ascii="宋体" w:hAnsi="宋体" w:eastAsia="宋体" w:cs="Arial"/>
                <w:color w:val="auto"/>
                <w:kern w:val="0"/>
                <w:sz w:val="24"/>
                <w:szCs w:val="24"/>
                <w:highlight w:val="none"/>
                <w:lang w:eastAsia="zh-CN"/>
              </w:rPr>
              <w:t>、</w:t>
            </w:r>
            <w:r>
              <w:rPr>
                <w:rFonts w:hint="eastAsia" w:ascii="宋体" w:hAnsi="宋体" w:eastAsia="宋体" w:cs="Arial"/>
                <w:color w:val="auto"/>
                <w:kern w:val="0"/>
                <w:sz w:val="24"/>
                <w:szCs w:val="24"/>
                <w:highlight w:val="none"/>
              </w:rPr>
              <w:t>主系统控制及图像处理系统</w:t>
            </w:r>
          </w:p>
          <w:p w14:paraId="6AAF146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1系统控制（包含发生器）与信息、图像控制一体化设计。</w:t>
            </w:r>
          </w:p>
          <w:p w14:paraId="7109EAD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2具备触摸屏操作、键盘操作、鼠标操作模式。</w:t>
            </w:r>
          </w:p>
          <w:p w14:paraId="1959792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3主机工作站硬盘容量≥500G，图像存贮容量不小于5000幅（非压缩）。</w:t>
            </w:r>
          </w:p>
          <w:p w14:paraId="59EA32C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4CPU主频≥3.6G</w:t>
            </w:r>
          </w:p>
          <w:p w14:paraId="65C7D6E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5主机内存≥16GB</w:t>
            </w:r>
          </w:p>
          <w:p w14:paraId="5FFD499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6DVD光驱装置</w:t>
            </w:r>
          </w:p>
          <w:p w14:paraId="5148908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7监视器尺寸≥23英寸</w:t>
            </w:r>
          </w:p>
          <w:p w14:paraId="10C3FE0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8接口支持：通过以太网输出DICOM-3.0格式图像,有传输、打印、存储、工作列表等功能。</w:t>
            </w:r>
          </w:p>
          <w:p w14:paraId="40D7987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9条形码病人信息输入</w:t>
            </w:r>
          </w:p>
          <w:p w14:paraId="2FC7A23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10图像处理功能</w:t>
            </w:r>
          </w:p>
          <w:p w14:paraId="5EBBB9D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10.1图像放大功能</w:t>
            </w:r>
          </w:p>
          <w:p w14:paraId="23CA6F0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10.2病人资料显示</w:t>
            </w:r>
          </w:p>
          <w:p w14:paraId="1103783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10.3边缘增强</w:t>
            </w:r>
          </w:p>
          <w:p w14:paraId="2A57373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10.4亮度调节</w:t>
            </w:r>
          </w:p>
          <w:p w14:paraId="1277121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10.5对比度调节</w:t>
            </w:r>
          </w:p>
          <w:p w14:paraId="4AB517D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10.6图像反转</w:t>
            </w:r>
          </w:p>
          <w:p w14:paraId="13D4CC3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10.7多频率窗/多灰度窗图像管理处理，提高图像显示动态范围，能够保证图像中高、低密度区域影响细节对比度清晰显示。</w:t>
            </w:r>
          </w:p>
          <w:p w14:paraId="7178D5B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10.8根据解剖部分自动进行图像优化处理</w:t>
            </w:r>
          </w:p>
          <w:p w14:paraId="06F5422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10.9注释、测量功能</w:t>
            </w:r>
          </w:p>
          <w:p w14:paraId="517E358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10.10图像打印排版功能</w:t>
            </w:r>
          </w:p>
          <w:p w14:paraId="402B833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11具有中文界面选择，图形化摄影体位选择，体型选择等功能。</w:t>
            </w:r>
          </w:p>
          <w:p w14:paraId="3CAFB218">
            <w:pPr>
              <w:pStyle w:val="2"/>
              <w:ind w:left="0" w:leftChars="0" w:firstLine="0" w:firstLineChars="0"/>
              <w:rPr>
                <w:rFonts w:hint="eastAsia"/>
                <w:b w:val="0"/>
                <w:bCs/>
                <w:color w:val="auto"/>
                <w:highlight w:val="none"/>
              </w:rPr>
            </w:pPr>
            <w:r>
              <w:rPr>
                <w:rFonts w:hint="eastAsia"/>
                <w:b w:val="0"/>
                <w:bCs/>
                <w:color w:val="auto"/>
                <w:highlight w:val="none"/>
              </w:rPr>
              <w:t>12 可视化辅助功能（人工智能功能）</w:t>
            </w:r>
          </w:p>
          <w:p w14:paraId="6E4D4DEE">
            <w:pPr>
              <w:pStyle w:val="2"/>
              <w:ind w:left="0" w:leftChars="0" w:firstLine="0" w:firstLineChars="0"/>
              <w:rPr>
                <w:rFonts w:hint="eastAsia"/>
                <w:b w:val="0"/>
                <w:bCs/>
                <w:color w:val="auto"/>
                <w:highlight w:val="none"/>
              </w:rPr>
            </w:pPr>
            <w:r>
              <w:rPr>
                <w:rFonts w:hint="eastAsia"/>
                <w:b w:val="0"/>
                <w:bCs/>
                <w:color w:val="auto"/>
                <w:highlight w:val="none"/>
              </w:rPr>
              <w:t>▲12.1辅助摄影摆位（胸部正位）：通过识别患者3D影像，判断患者胸部正位摄影摆位是否满足需求。</w:t>
            </w:r>
          </w:p>
          <w:p w14:paraId="76E44099">
            <w:pPr>
              <w:pStyle w:val="2"/>
              <w:ind w:left="0" w:leftChars="0" w:firstLine="0" w:firstLineChars="0"/>
              <w:rPr>
                <w:rFonts w:hint="eastAsia"/>
                <w:b w:val="0"/>
                <w:bCs/>
                <w:color w:val="auto"/>
                <w:highlight w:val="none"/>
              </w:rPr>
            </w:pPr>
            <w:r>
              <w:rPr>
                <w:rFonts w:hint="eastAsia"/>
                <w:b w:val="0"/>
                <w:bCs/>
                <w:color w:val="auto"/>
                <w:highlight w:val="none"/>
              </w:rPr>
              <w:t>12.2辅助自动曝光参数：通过识别患者3D影像，根据患者体型，系统推荐自动曝光控制（AEC）的曝光参数。</w:t>
            </w:r>
          </w:p>
          <w:p w14:paraId="7B166D59">
            <w:pPr>
              <w:pStyle w:val="2"/>
              <w:ind w:left="0" w:leftChars="0" w:firstLine="0" w:firstLineChars="0"/>
              <w:rPr>
                <w:rFonts w:hint="eastAsia"/>
                <w:b w:val="0"/>
                <w:bCs/>
                <w:color w:val="auto"/>
                <w:highlight w:val="none"/>
              </w:rPr>
            </w:pPr>
            <w:r>
              <w:rPr>
                <w:rFonts w:hint="eastAsia"/>
                <w:b w:val="0"/>
                <w:bCs/>
                <w:color w:val="auto"/>
                <w:highlight w:val="none"/>
              </w:rPr>
              <w:t>12.3自动限束器光野调节：通过识别患者3D影像，根据患者体型，系统提供自动束光器光野的大小。</w:t>
            </w:r>
          </w:p>
          <w:p w14:paraId="33656045">
            <w:pPr>
              <w:pStyle w:val="2"/>
              <w:ind w:left="0" w:leftChars="0" w:firstLine="0" w:firstLineChars="0"/>
              <w:rPr>
                <w:rFonts w:hint="eastAsia"/>
                <w:b w:val="0"/>
                <w:bCs/>
                <w:color w:val="auto"/>
                <w:highlight w:val="none"/>
              </w:rPr>
            </w:pPr>
            <w:r>
              <w:rPr>
                <w:rFonts w:hint="eastAsia"/>
                <w:b w:val="0"/>
                <w:bCs/>
                <w:color w:val="auto"/>
                <w:highlight w:val="none"/>
              </w:rPr>
              <w:t>12.4可视化限束器：通过实时视频，用户可在操作软件上虚拟调整束光器的位置与大小，并可相应匹配实际束光器的位置与大小。</w:t>
            </w:r>
          </w:p>
          <w:p w14:paraId="6A48C901">
            <w:pPr>
              <w:pStyle w:val="2"/>
              <w:ind w:left="0" w:leftChars="0" w:firstLine="0" w:firstLineChars="0"/>
              <w:rPr>
                <w:rFonts w:hint="eastAsia"/>
                <w:b w:val="0"/>
                <w:bCs/>
                <w:color w:val="auto"/>
                <w:highlight w:val="none"/>
              </w:rPr>
            </w:pPr>
            <w:r>
              <w:rPr>
                <w:rFonts w:hint="eastAsia"/>
                <w:b w:val="0"/>
                <w:bCs/>
                <w:color w:val="auto"/>
                <w:highlight w:val="none"/>
              </w:rPr>
              <w:t>12.5实时视频辅助引导：通过实时视频，可帮助用户进行患者摆位的调整。</w:t>
            </w:r>
          </w:p>
          <w:p w14:paraId="110B3F21">
            <w:pPr>
              <w:pStyle w:val="2"/>
              <w:ind w:left="0" w:leftChars="0" w:firstLine="0" w:firstLineChars="0"/>
              <w:rPr>
                <w:rFonts w:hint="eastAsia"/>
                <w:b w:val="0"/>
                <w:bCs/>
                <w:color w:val="auto"/>
                <w:highlight w:val="none"/>
              </w:rPr>
            </w:pPr>
            <w:r>
              <w:rPr>
                <w:rFonts w:hint="eastAsia"/>
                <w:b w:val="0"/>
                <w:bCs/>
                <w:color w:val="auto"/>
                <w:highlight w:val="none"/>
              </w:rPr>
              <w:t>12.6具备双可视化辅助组件</w:t>
            </w:r>
          </w:p>
          <w:p w14:paraId="6E5DEADF">
            <w:pPr>
              <w:pStyle w:val="2"/>
              <w:ind w:left="0" w:leftChars="0" w:firstLine="0" w:firstLineChars="0"/>
              <w:rPr>
                <w:rFonts w:hint="eastAsia"/>
                <w:b w:val="0"/>
                <w:bCs/>
                <w:color w:val="auto"/>
                <w:highlight w:val="none"/>
              </w:rPr>
            </w:pPr>
            <w:r>
              <w:rPr>
                <w:rFonts w:hint="eastAsia"/>
                <w:b w:val="0"/>
                <w:bCs/>
                <w:color w:val="auto"/>
                <w:highlight w:val="none"/>
              </w:rPr>
              <w:t>12.7可编辑、预设及实时语音提示功能输出接口</w:t>
            </w:r>
          </w:p>
          <w:p w14:paraId="3C434694">
            <w:pPr>
              <w:pStyle w:val="2"/>
              <w:ind w:left="0" w:leftChars="0" w:firstLine="0" w:firstLineChars="0"/>
              <w:rPr>
                <w:rFonts w:hint="eastAsia"/>
                <w:b w:val="0"/>
                <w:bCs/>
                <w:color w:val="auto"/>
                <w:highlight w:val="none"/>
              </w:rPr>
            </w:pPr>
            <w:r>
              <w:rPr>
                <w:rFonts w:hint="eastAsia"/>
                <w:b w:val="0"/>
                <w:bCs/>
                <w:color w:val="auto"/>
                <w:highlight w:val="none"/>
              </w:rPr>
              <w:t>12.8摄影摆位姿势提示显示视频输出接口</w:t>
            </w:r>
          </w:p>
          <w:p w14:paraId="21461473">
            <w:pPr>
              <w:pStyle w:val="2"/>
              <w:ind w:left="0" w:leftChars="0" w:firstLine="0" w:firstLineChars="0"/>
              <w:rPr>
                <w:rFonts w:hint="eastAsia"/>
                <w:b w:val="0"/>
                <w:bCs/>
                <w:color w:val="auto"/>
                <w:highlight w:val="none"/>
              </w:rPr>
            </w:pPr>
            <w:r>
              <w:rPr>
                <w:rFonts w:hint="eastAsia"/>
                <w:b w:val="0"/>
                <w:bCs/>
                <w:color w:val="auto"/>
                <w:highlight w:val="none"/>
              </w:rPr>
              <w:t>13高级后处理软件</w:t>
            </w:r>
          </w:p>
          <w:p w14:paraId="74491AD1">
            <w:pPr>
              <w:pStyle w:val="2"/>
              <w:ind w:left="0" w:leftChars="0" w:firstLine="0" w:firstLineChars="0"/>
              <w:rPr>
                <w:rFonts w:hint="eastAsia"/>
                <w:b w:val="0"/>
                <w:bCs/>
                <w:color w:val="auto"/>
                <w:highlight w:val="none"/>
              </w:rPr>
            </w:pPr>
            <w:r>
              <w:rPr>
                <w:rFonts w:hint="eastAsia"/>
                <w:b w:val="0"/>
                <w:bCs/>
                <w:color w:val="auto"/>
                <w:highlight w:val="none"/>
              </w:rPr>
              <w:t>▲13.1PICC管线增强显示处理软件，增强清晰显示管线。</w:t>
            </w:r>
          </w:p>
          <w:p w14:paraId="4C149E34">
            <w:pPr>
              <w:pStyle w:val="2"/>
              <w:ind w:left="0" w:leftChars="0" w:firstLine="0" w:firstLineChars="0"/>
              <w:rPr>
                <w:rFonts w:hint="eastAsia"/>
                <w:b w:val="0"/>
                <w:bCs/>
                <w:color w:val="auto"/>
                <w:highlight w:val="none"/>
              </w:rPr>
            </w:pPr>
            <w:r>
              <w:rPr>
                <w:rFonts w:hint="eastAsia"/>
                <w:b w:val="0"/>
                <w:bCs/>
                <w:color w:val="auto"/>
                <w:highlight w:val="none"/>
              </w:rPr>
              <w:t>▲13.2气胸可视化处理软件：在一次曝光采集后可显示标准影像以及气胸清晰显示影像两幅。</w:t>
            </w:r>
          </w:p>
          <w:p w14:paraId="1047FFB2">
            <w:pPr>
              <w:pStyle w:val="2"/>
              <w:ind w:left="0" w:leftChars="0" w:firstLine="0" w:firstLineChars="0"/>
              <w:rPr>
                <w:rFonts w:hint="eastAsia"/>
                <w:b w:val="0"/>
                <w:bCs/>
                <w:color w:val="auto"/>
                <w:highlight w:val="none"/>
              </w:rPr>
            </w:pPr>
            <w:r>
              <w:rPr>
                <w:rFonts w:hint="eastAsia"/>
                <w:b w:val="0"/>
                <w:bCs/>
                <w:color w:val="auto"/>
                <w:highlight w:val="none"/>
              </w:rPr>
              <w:t>▲13.3骨抑制软件：通过处理可去除胸部影像中骨骼部分显示，达到显示软组织结构的显示效果。</w:t>
            </w:r>
          </w:p>
          <w:p w14:paraId="46CA06A6">
            <w:pPr>
              <w:pStyle w:val="2"/>
              <w:ind w:left="0" w:leftChars="0" w:firstLine="0" w:firstLineChars="0"/>
              <w:rPr>
                <w:rFonts w:hint="eastAsia"/>
                <w:b w:val="0"/>
                <w:bCs/>
                <w:color w:val="auto"/>
                <w:highlight w:val="none"/>
              </w:rPr>
            </w:pPr>
            <w:r>
              <w:rPr>
                <w:rFonts w:hint="eastAsia"/>
                <w:b w:val="0"/>
                <w:bCs/>
                <w:color w:val="auto"/>
                <w:highlight w:val="none"/>
              </w:rPr>
              <w:t>13.4智能虚拟滤线栅，可不使用实体滤线栅，仅用软件处理，可达到降低散射线影响、降低影像灰雾、降低曝光剂量的目的。</w:t>
            </w:r>
          </w:p>
          <w:p w14:paraId="116D1851">
            <w:pPr>
              <w:pStyle w:val="2"/>
              <w:ind w:left="0" w:leftChars="0" w:firstLine="0" w:firstLineChars="0"/>
              <w:rPr>
                <w:rFonts w:hint="eastAsia"/>
                <w:b w:val="0"/>
                <w:bCs/>
                <w:color w:val="auto"/>
                <w:highlight w:val="none"/>
              </w:rPr>
            </w:pPr>
            <w:r>
              <w:rPr>
                <w:rFonts w:hint="eastAsia"/>
                <w:b w:val="0"/>
                <w:bCs/>
                <w:color w:val="auto"/>
                <w:highlight w:val="none"/>
              </w:rPr>
              <w:t>13.5配置原厂体检专用套件（包含体检模式、尘肺病检查模式）</w:t>
            </w:r>
          </w:p>
          <w:p w14:paraId="7C96DE61">
            <w:pPr>
              <w:pStyle w:val="2"/>
              <w:ind w:left="0" w:leftChars="0" w:firstLine="0" w:firstLineChars="0"/>
              <w:rPr>
                <w:rFonts w:hint="eastAsia"/>
                <w:b w:val="0"/>
                <w:bCs/>
                <w:color w:val="auto"/>
                <w:highlight w:val="none"/>
              </w:rPr>
            </w:pPr>
            <w:r>
              <w:rPr>
                <w:rFonts w:hint="eastAsia"/>
                <w:b w:val="0"/>
                <w:bCs/>
                <w:color w:val="auto"/>
                <w:highlight w:val="none"/>
              </w:rPr>
              <w:t>14DR全长摄影功能（全自动图像拼接）：1套</w:t>
            </w:r>
          </w:p>
          <w:p w14:paraId="140C9F38">
            <w:pPr>
              <w:pStyle w:val="2"/>
              <w:ind w:left="0" w:leftChars="0" w:firstLine="0" w:firstLineChars="0"/>
              <w:rPr>
                <w:rFonts w:hint="eastAsia"/>
                <w:b w:val="0"/>
                <w:bCs/>
                <w:color w:val="auto"/>
                <w:highlight w:val="none"/>
              </w:rPr>
            </w:pPr>
            <w:r>
              <w:rPr>
                <w:rFonts w:hint="eastAsia"/>
                <w:b w:val="0"/>
                <w:bCs/>
                <w:color w:val="auto"/>
                <w:highlight w:val="none"/>
              </w:rPr>
              <w:t>▲14.1通过实时视频，用户在操作工作站即可观察并调整长骨图像曝光区域，系统可自动计算出所要采集的图像数量，定位机架做好采集准备。用户按下曝光键，系统可自动采集、自动拼接长骨摄影图像，全自动实现整个过程</w:t>
            </w:r>
          </w:p>
          <w:p w14:paraId="0C41D54D">
            <w:pPr>
              <w:pStyle w:val="2"/>
              <w:ind w:left="0" w:leftChars="0" w:firstLine="0" w:firstLineChars="0"/>
              <w:rPr>
                <w:rFonts w:hint="eastAsia"/>
                <w:b w:val="0"/>
                <w:bCs/>
                <w:color w:val="auto"/>
                <w:highlight w:val="none"/>
              </w:rPr>
            </w:pPr>
            <w:r>
              <w:rPr>
                <w:rFonts w:hint="eastAsia"/>
                <w:b w:val="0"/>
                <w:bCs/>
                <w:color w:val="auto"/>
                <w:highlight w:val="none"/>
              </w:rPr>
              <w:t>14.2该功能可以完全在DR的一体化控制台上全自动的完成，无需额外的图像处理工作站</w:t>
            </w:r>
          </w:p>
          <w:p w14:paraId="02A04A4B">
            <w:pPr>
              <w:pStyle w:val="2"/>
              <w:ind w:left="0" w:leftChars="0" w:firstLine="0" w:firstLineChars="0"/>
              <w:rPr>
                <w:rFonts w:hint="eastAsia"/>
                <w:b w:val="0"/>
                <w:bCs/>
                <w:color w:val="auto"/>
                <w:highlight w:val="none"/>
              </w:rPr>
            </w:pPr>
            <w:r>
              <w:rPr>
                <w:rFonts w:hint="eastAsia"/>
                <w:b w:val="0"/>
                <w:bCs/>
                <w:color w:val="auto"/>
                <w:highlight w:val="none"/>
              </w:rPr>
              <w:t>14.3该系统可以自动控制球管的角度摆动、相应的探测器位置跟踪对中（非球管与探测器同步平行运动方式）。</w:t>
            </w:r>
          </w:p>
          <w:p w14:paraId="295AAE14">
            <w:pPr>
              <w:pStyle w:val="2"/>
              <w:ind w:left="0" w:leftChars="0" w:firstLine="0" w:firstLineChars="0"/>
              <w:rPr>
                <w:rFonts w:hint="eastAsia"/>
                <w:b w:val="0"/>
                <w:bCs/>
                <w:color w:val="auto"/>
                <w:highlight w:val="none"/>
              </w:rPr>
            </w:pPr>
            <w:r>
              <w:rPr>
                <w:rFonts w:hint="eastAsia"/>
                <w:b w:val="0"/>
                <w:bCs/>
                <w:color w:val="auto"/>
                <w:highlight w:val="none"/>
              </w:rPr>
              <w:t>14.4最大连续曝光采集≤5幅影像（站立位）</w:t>
            </w:r>
          </w:p>
          <w:p w14:paraId="31CFD558">
            <w:pPr>
              <w:pStyle w:val="2"/>
              <w:ind w:left="0" w:leftChars="0" w:firstLine="0" w:firstLineChars="0"/>
              <w:rPr>
                <w:rFonts w:hint="eastAsia"/>
                <w:b w:val="0"/>
                <w:bCs/>
                <w:color w:val="auto"/>
                <w:highlight w:val="none"/>
              </w:rPr>
            </w:pPr>
            <w:r>
              <w:rPr>
                <w:rFonts w:hint="eastAsia"/>
                <w:b w:val="0"/>
                <w:bCs/>
                <w:color w:val="auto"/>
                <w:highlight w:val="none"/>
              </w:rPr>
              <w:t>14.5系统包含患者固定站立架、边侧滑槽及附件安转滑槽、一体化标尺，患者固定扶手</w:t>
            </w:r>
          </w:p>
          <w:p w14:paraId="4DF74B89">
            <w:pPr>
              <w:pStyle w:val="2"/>
              <w:ind w:left="0" w:leftChars="0" w:firstLine="0" w:firstLineChars="0"/>
              <w:rPr>
                <w:rFonts w:hint="eastAsia"/>
                <w:b w:val="0"/>
                <w:bCs/>
                <w:color w:val="auto"/>
                <w:highlight w:val="none"/>
                <w:lang w:val="en-US" w:eastAsia="zh-CN"/>
              </w:rPr>
            </w:pPr>
            <w:r>
              <w:rPr>
                <w:rFonts w:hint="eastAsia"/>
                <w:b w:val="0"/>
                <w:bCs/>
                <w:color w:val="auto"/>
                <w:highlight w:val="none"/>
                <w:lang w:val="en-US" w:eastAsia="zh-CN"/>
              </w:rPr>
              <w:t>15配套设施：</w:t>
            </w:r>
          </w:p>
          <w:p w14:paraId="06C60735">
            <w:pPr>
              <w:pStyle w:val="2"/>
              <w:ind w:left="0" w:leftChars="0" w:firstLine="0" w:firstLineChars="0"/>
              <w:rPr>
                <w:rFonts w:hint="default"/>
                <w:b w:val="0"/>
                <w:bCs/>
                <w:color w:val="auto"/>
                <w:highlight w:val="none"/>
                <w:lang w:val="en-US" w:eastAsia="zh-CN"/>
              </w:rPr>
            </w:pPr>
            <w:r>
              <w:rPr>
                <w:rFonts w:hint="eastAsia"/>
                <w:b w:val="0"/>
                <w:bCs/>
                <w:color w:val="auto"/>
                <w:highlight w:val="none"/>
                <w:lang w:val="en-US" w:eastAsia="zh-CN"/>
              </w:rPr>
              <w:t>机房防护工程以及预控环评。影像设备移机，以及机房辐射建设。</w:t>
            </w:r>
          </w:p>
          <w:p w14:paraId="34C48C22">
            <w:pPr>
              <w:pStyle w:val="2"/>
              <w:ind w:left="0" w:leftChars="0" w:firstLine="0" w:firstLineChars="0"/>
              <w:rPr>
                <w:rFonts w:hint="eastAsia"/>
                <w:color w:val="auto"/>
                <w:highlight w:val="none"/>
                <w:lang w:val="en-US" w:eastAsia="zh-CN"/>
              </w:rPr>
            </w:pPr>
            <w:r>
              <w:rPr>
                <w:rFonts w:hint="eastAsia"/>
                <w:b w:val="0"/>
                <w:bCs/>
                <w:color w:val="auto"/>
                <w:highlight w:val="none"/>
                <w:lang w:val="en-US" w:eastAsia="zh-CN"/>
              </w:rPr>
              <w:t>空气消毒机1台、除湿机1台、防辐射用品儿童、成人各3套(铅当量不低于0.5mmPb)(含铅衣、铅帽、铅围裙、铅方巾、铅围脖、铅眼镜)、货架（平铺铅衣），挂架2副，铅帘等配套设施必须满足医院实际需求。</w:t>
            </w:r>
          </w:p>
        </w:tc>
        <w:tc>
          <w:tcPr>
            <w:tcW w:w="454" w:type="pct"/>
            <w:tcBorders>
              <w:top w:val="single" w:color="auto" w:sz="4" w:space="0"/>
              <w:left w:val="nil"/>
              <w:bottom w:val="single" w:color="auto" w:sz="4" w:space="0"/>
              <w:right w:val="single" w:color="auto" w:sz="4" w:space="0"/>
            </w:tcBorders>
            <w:shd w:val="clear" w:color="auto" w:fill="FFFFFF"/>
            <w:vAlign w:val="center"/>
          </w:tcPr>
          <w:p w14:paraId="4D08D0D4">
            <w:pPr>
              <w:widowControl/>
              <w:tabs>
                <w:tab w:val="left" w:pos="900"/>
              </w:tabs>
              <w:jc w:val="center"/>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套</w:t>
            </w:r>
          </w:p>
        </w:tc>
        <w:tc>
          <w:tcPr>
            <w:tcW w:w="454" w:type="pct"/>
            <w:tcBorders>
              <w:top w:val="single" w:color="auto" w:sz="4" w:space="0"/>
              <w:left w:val="nil"/>
              <w:bottom w:val="single" w:color="auto" w:sz="4" w:space="0"/>
              <w:right w:val="single" w:color="auto" w:sz="4" w:space="0"/>
            </w:tcBorders>
            <w:shd w:val="clear" w:color="auto" w:fill="FFFFFF"/>
            <w:vAlign w:val="center"/>
          </w:tcPr>
          <w:p w14:paraId="0217C1E6">
            <w:pPr>
              <w:widowControl/>
              <w:tabs>
                <w:tab w:val="left" w:pos="900"/>
              </w:tabs>
              <w:jc w:val="center"/>
              <w:textAlignment w:val="center"/>
              <w:rPr>
                <w:rFonts w:hint="eastAsia" w:ascii="宋体" w:hAnsi="宋体" w:eastAsia="宋体" w:cs="Arial"/>
                <w:color w:val="auto"/>
                <w:kern w:val="0"/>
                <w:sz w:val="24"/>
                <w:szCs w:val="24"/>
                <w:highlight w:val="none"/>
                <w:lang w:eastAsia="zh-CN"/>
              </w:rPr>
            </w:pPr>
            <w:r>
              <w:rPr>
                <w:rFonts w:hint="eastAsia" w:ascii="宋体" w:hAnsi="宋体" w:eastAsia="宋体" w:cs="Arial"/>
                <w:color w:val="auto"/>
                <w:kern w:val="0"/>
                <w:sz w:val="24"/>
                <w:szCs w:val="24"/>
                <w:highlight w:val="none"/>
                <w:lang w:val="en-US" w:eastAsia="zh-CN"/>
              </w:rPr>
              <w:t>2</w:t>
            </w:r>
          </w:p>
        </w:tc>
        <w:tc>
          <w:tcPr>
            <w:tcW w:w="618" w:type="pct"/>
            <w:tcBorders>
              <w:top w:val="single" w:color="auto" w:sz="4" w:space="0"/>
              <w:left w:val="nil"/>
              <w:bottom w:val="single" w:color="auto" w:sz="4" w:space="0"/>
              <w:right w:val="single" w:color="auto" w:sz="4" w:space="0"/>
            </w:tcBorders>
            <w:vAlign w:val="center"/>
          </w:tcPr>
          <w:p w14:paraId="654F5D23">
            <w:pPr>
              <w:widowControl/>
              <w:jc w:val="center"/>
              <w:rPr>
                <w:rFonts w:hint="eastAsia" w:ascii="宋体" w:hAnsi="宋体" w:eastAsia="宋体" w:cs="Arial"/>
                <w:color w:val="auto"/>
                <w:kern w:val="0"/>
                <w:sz w:val="24"/>
                <w:szCs w:val="24"/>
                <w:highlight w:val="none"/>
                <w:lang w:val="en-US" w:eastAsia="zh-CN"/>
              </w:rPr>
            </w:pPr>
            <w:r>
              <w:rPr>
                <w:rFonts w:hint="eastAsia" w:ascii="宋体" w:hAnsi="宋体" w:eastAsia="宋体" w:cs="Arial"/>
                <w:color w:val="auto"/>
                <w:kern w:val="0"/>
                <w:sz w:val="24"/>
                <w:szCs w:val="24"/>
                <w:highlight w:val="none"/>
                <w:lang w:val="en-US" w:eastAsia="zh-CN"/>
              </w:rPr>
              <w:t>是</w:t>
            </w:r>
          </w:p>
        </w:tc>
      </w:tr>
      <w:tr w14:paraId="5C2D9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9" w:type="pct"/>
            <w:tcBorders>
              <w:top w:val="single" w:color="auto" w:sz="4" w:space="0"/>
              <w:left w:val="single" w:color="auto" w:sz="4" w:space="0"/>
              <w:bottom w:val="single" w:color="auto" w:sz="4" w:space="0"/>
              <w:right w:val="single" w:color="auto" w:sz="4" w:space="0"/>
            </w:tcBorders>
            <w:shd w:val="clear" w:color="auto" w:fill="FFFFFF"/>
            <w:vAlign w:val="center"/>
          </w:tcPr>
          <w:p w14:paraId="5FE7C844">
            <w:pPr>
              <w:widowControl/>
              <w:tabs>
                <w:tab w:val="left" w:pos="420"/>
                <w:tab w:val="left" w:pos="900"/>
              </w:tabs>
              <w:jc w:val="center"/>
              <w:rPr>
                <w:rFonts w:hint="eastAsia" w:ascii="宋体" w:hAnsi="宋体" w:eastAsia="宋体" w:cs="Arial"/>
                <w:color w:val="auto"/>
                <w:kern w:val="0"/>
                <w:sz w:val="24"/>
                <w:szCs w:val="24"/>
                <w:highlight w:val="none"/>
                <w:lang w:val="en-US" w:eastAsia="zh-CN"/>
              </w:rPr>
            </w:pPr>
            <w:r>
              <w:rPr>
                <w:rFonts w:hint="eastAsia" w:ascii="宋体" w:hAnsi="宋体" w:eastAsia="宋体" w:cs="Arial"/>
                <w:color w:val="auto"/>
                <w:kern w:val="0"/>
                <w:sz w:val="24"/>
                <w:szCs w:val="24"/>
                <w:highlight w:val="none"/>
                <w:lang w:val="en-US" w:eastAsia="zh-CN"/>
              </w:rPr>
              <w:t>2</w:t>
            </w:r>
          </w:p>
        </w:tc>
        <w:tc>
          <w:tcPr>
            <w:tcW w:w="846" w:type="pct"/>
            <w:tcBorders>
              <w:top w:val="single" w:color="auto" w:sz="4" w:space="0"/>
              <w:left w:val="nil"/>
              <w:bottom w:val="single" w:color="auto" w:sz="4" w:space="0"/>
              <w:right w:val="single" w:color="auto" w:sz="4" w:space="0"/>
            </w:tcBorders>
            <w:shd w:val="clear" w:color="auto" w:fill="FFFFFF"/>
            <w:vAlign w:val="center"/>
          </w:tcPr>
          <w:p w14:paraId="4386880A">
            <w:pPr>
              <w:widowControl/>
              <w:tabs>
                <w:tab w:val="left" w:pos="900"/>
              </w:tabs>
              <w:jc w:val="center"/>
              <w:textAlignment w:val="center"/>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数字化移动式摄影X射线机</w:t>
            </w:r>
          </w:p>
        </w:tc>
        <w:tc>
          <w:tcPr>
            <w:tcW w:w="2277" w:type="pct"/>
            <w:tcBorders>
              <w:top w:val="single" w:color="auto" w:sz="4" w:space="0"/>
              <w:left w:val="nil"/>
              <w:bottom w:val="single" w:color="auto" w:sz="4" w:space="0"/>
              <w:right w:val="single" w:color="auto" w:sz="4" w:space="0"/>
            </w:tcBorders>
            <w:shd w:val="clear" w:color="auto" w:fill="FFFFFF"/>
            <w:vAlign w:val="center"/>
          </w:tcPr>
          <w:p w14:paraId="7E65BA3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总体要求：通过X射线系统和数字平板探测器成像捕获系统，能方便地对全身包括胸部、四肢、头颅和腹部等部位进行立位、卧位和坐轮椅病人的检查，完成高分辨的数字化成像和自动影像处理。</w:t>
            </w:r>
          </w:p>
          <w:p w14:paraId="641180D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一</w:t>
            </w:r>
            <w:r>
              <w:rPr>
                <w:rFonts w:hint="eastAsia" w:ascii="宋体" w:hAnsi="宋体" w:eastAsia="宋体" w:cs="Arial"/>
                <w:color w:val="auto"/>
                <w:kern w:val="0"/>
                <w:sz w:val="24"/>
                <w:szCs w:val="24"/>
                <w:highlight w:val="none"/>
                <w:lang w:eastAsia="zh-CN"/>
              </w:rPr>
              <w:t>、</w:t>
            </w:r>
            <w:r>
              <w:rPr>
                <w:rFonts w:hint="eastAsia" w:ascii="宋体" w:hAnsi="宋体" w:eastAsia="宋体" w:cs="Arial"/>
                <w:color w:val="auto"/>
                <w:kern w:val="0"/>
                <w:sz w:val="24"/>
                <w:szCs w:val="24"/>
                <w:highlight w:val="none"/>
              </w:rPr>
              <w:t>无线数字平板探测器，数量 2 块</w:t>
            </w:r>
          </w:p>
          <w:p w14:paraId="6D38509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▲1碘化铯非晶硅无线平板探测器，像素尺寸≤100微米，探测器像素矩阵≥4200x4200，且具备电缆供电的固定平板工作模式，平板探测器与主机同品牌。</w:t>
            </w:r>
          </w:p>
          <w:p w14:paraId="56AF6D6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▲2最大空间分辨率≥5线对/毫米</w:t>
            </w:r>
          </w:p>
          <w:p w14:paraId="26804B8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▲3DQE量子捕获效率（最大值）≥70%</w:t>
            </w:r>
          </w:p>
          <w:p w14:paraId="57BDDD3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4探测器外形尺寸规格≤46厘米x 46厘米x1.5厘米</w:t>
            </w:r>
          </w:p>
          <w:p w14:paraId="222D652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5探测器重量≤3.5公斤</w:t>
            </w:r>
          </w:p>
          <w:p w14:paraId="676A3EC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6A/D数模转换≥16比特</w:t>
            </w:r>
          </w:p>
          <w:p w14:paraId="06645C7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▲7探测器电池可快速拆卸更换</w:t>
            </w:r>
          </w:p>
          <w:p w14:paraId="639739D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8主机具备探测器在线直接充电模式。</w:t>
            </w:r>
          </w:p>
          <w:p w14:paraId="4DCE811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▲9防尘防水标准达到GB4208标准中的IP56级别.</w:t>
            </w:r>
          </w:p>
          <w:p w14:paraId="7BBDF58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二</w:t>
            </w:r>
            <w:r>
              <w:rPr>
                <w:rFonts w:hint="eastAsia" w:ascii="宋体" w:hAnsi="宋体" w:eastAsia="宋体" w:cs="Arial"/>
                <w:color w:val="auto"/>
                <w:kern w:val="0"/>
                <w:sz w:val="24"/>
                <w:szCs w:val="24"/>
                <w:highlight w:val="none"/>
                <w:lang w:eastAsia="zh-CN"/>
              </w:rPr>
              <w:t>、</w:t>
            </w:r>
            <w:r>
              <w:rPr>
                <w:rFonts w:hint="eastAsia" w:ascii="宋体" w:hAnsi="宋体" w:eastAsia="宋体" w:cs="Arial"/>
                <w:color w:val="auto"/>
                <w:kern w:val="0"/>
                <w:sz w:val="24"/>
                <w:szCs w:val="24"/>
                <w:highlight w:val="none"/>
              </w:rPr>
              <w:t>X射线高压发生器</w:t>
            </w:r>
          </w:p>
          <w:p w14:paraId="2CBF477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▲1X射线高压发生器，与主机同一品牌。标称电功率≥80千瓦。</w:t>
            </w:r>
          </w:p>
          <w:p w14:paraId="66C2ADC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▲2高压产生方式: 最高开关频率≥240kHz</w:t>
            </w:r>
          </w:p>
          <w:p w14:paraId="090372B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3管电压范围40-150千伏</w:t>
            </w:r>
          </w:p>
          <w:p w14:paraId="4D59ABC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4具备自动曝光量控制功能</w:t>
            </w:r>
          </w:p>
          <w:p w14:paraId="5D9BD3D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5最短曝光时间≤1毫秒</w:t>
            </w:r>
          </w:p>
          <w:p w14:paraId="03225A7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6最长曝光时间≥6秒</w:t>
            </w:r>
          </w:p>
          <w:p w14:paraId="65D1608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 xml:space="preserve">7摄影最小管电流≤10毫安；摄影最大管电流≥1000毫安。 </w:t>
            </w:r>
          </w:p>
          <w:p w14:paraId="252DCED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 xml:space="preserve">▲8摄影最小电流时间积≤0.1毫安秒；摄影最大电流时间积≥1000毫安秒。 </w:t>
            </w:r>
          </w:p>
          <w:p w14:paraId="2409A39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三</w:t>
            </w:r>
            <w:r>
              <w:rPr>
                <w:rFonts w:hint="eastAsia" w:ascii="宋体" w:hAnsi="宋体" w:eastAsia="宋体" w:cs="Arial"/>
                <w:color w:val="auto"/>
                <w:kern w:val="0"/>
                <w:sz w:val="24"/>
                <w:szCs w:val="24"/>
                <w:highlight w:val="none"/>
                <w:lang w:eastAsia="zh-CN"/>
              </w:rPr>
              <w:t>、</w:t>
            </w:r>
            <w:r>
              <w:rPr>
                <w:rFonts w:hint="eastAsia" w:ascii="宋体" w:hAnsi="宋体" w:eastAsia="宋体" w:cs="Arial"/>
                <w:color w:val="auto"/>
                <w:kern w:val="0"/>
                <w:sz w:val="24"/>
                <w:szCs w:val="24"/>
                <w:highlight w:val="none"/>
              </w:rPr>
              <w:t>X射线球管</w:t>
            </w:r>
          </w:p>
          <w:p w14:paraId="4C203E8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1双焦点， 焦点规格：小焦点≤0.6毫米，大焦点≤1.2毫米。</w:t>
            </w:r>
          </w:p>
          <w:p w14:paraId="08347A7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▲2小焦点功率≥40千瓦，大焦点功率≥100千瓦。</w:t>
            </w:r>
          </w:p>
          <w:p w14:paraId="770C224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▲3阳极热容量≥400kHu</w:t>
            </w:r>
          </w:p>
          <w:p w14:paraId="5A2F4E0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4高速旋转阳极，阳极转速≥8000转/分钟。</w:t>
            </w:r>
          </w:p>
          <w:p w14:paraId="1FD4B8C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四</w:t>
            </w:r>
            <w:r>
              <w:rPr>
                <w:rFonts w:hint="eastAsia" w:ascii="宋体" w:hAnsi="宋体" w:eastAsia="宋体" w:cs="Arial"/>
                <w:color w:val="auto"/>
                <w:kern w:val="0"/>
                <w:sz w:val="24"/>
                <w:szCs w:val="24"/>
                <w:highlight w:val="none"/>
                <w:lang w:eastAsia="zh-CN"/>
              </w:rPr>
              <w:t>、</w:t>
            </w:r>
            <w:r>
              <w:rPr>
                <w:rFonts w:hint="eastAsia" w:ascii="宋体" w:hAnsi="宋体" w:eastAsia="宋体" w:cs="Arial"/>
                <w:color w:val="auto"/>
                <w:kern w:val="0"/>
                <w:sz w:val="24"/>
                <w:szCs w:val="24"/>
                <w:highlight w:val="none"/>
              </w:rPr>
              <w:t>X射线束光器</w:t>
            </w:r>
          </w:p>
          <w:p w14:paraId="5C636A8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1束光器具备手动调节投照视野方式以及根据预设自动控制投照视野</w:t>
            </w:r>
          </w:p>
          <w:p w14:paraId="7B9F7E5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2束光器有LED射野灯光定时控制开关</w:t>
            </w:r>
          </w:p>
          <w:p w14:paraId="6EF6F90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3数字显示：SID, 纵横向束光位置，X射线滤波板选择。</w:t>
            </w:r>
          </w:p>
          <w:p w14:paraId="1B04DB4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4束光器内置多片可供组合附加滤过片， 可以组成多档位滤过板， 档位数量≥3种。</w:t>
            </w:r>
          </w:p>
          <w:p w14:paraId="49523D7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五</w:t>
            </w:r>
            <w:r>
              <w:rPr>
                <w:rFonts w:hint="eastAsia" w:ascii="宋体" w:hAnsi="宋体" w:eastAsia="宋体" w:cs="Arial"/>
                <w:color w:val="auto"/>
                <w:kern w:val="0"/>
                <w:sz w:val="24"/>
                <w:szCs w:val="24"/>
                <w:highlight w:val="none"/>
                <w:lang w:eastAsia="zh-CN"/>
              </w:rPr>
              <w:t>、</w:t>
            </w:r>
            <w:r>
              <w:rPr>
                <w:rFonts w:hint="eastAsia" w:ascii="宋体" w:hAnsi="宋体" w:eastAsia="宋体" w:cs="Arial"/>
                <w:color w:val="auto"/>
                <w:kern w:val="0"/>
                <w:sz w:val="24"/>
                <w:szCs w:val="24"/>
                <w:highlight w:val="none"/>
              </w:rPr>
              <w:t>悬吊式X射线球管机架</w:t>
            </w:r>
          </w:p>
          <w:p w14:paraId="2238F45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1五轴运动悬吊式X射线球管支架（水平面纵、横向；垂直方向；围绕水平轴、垂直轴旋转）。</w:t>
            </w:r>
          </w:p>
          <w:p w14:paraId="1F55E44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▲2X射线球管运动及旋转：水平面纵向X轴电动及手动驱动，水平面横向Y轴电动及手动驱动，垂直方向电动及手动升降，X线球管围绕水平轴电动及手动旋转。</w:t>
            </w:r>
          </w:p>
          <w:p w14:paraId="28E59D1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▲3X射线球管移动范围：水平面X轴≥310厘米，水平面Y轴≥220厘米,垂直方向升降≥150厘米。</w:t>
            </w:r>
          </w:p>
          <w:p w14:paraId="00E12E1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▲4X射线球管旋转角度范围：围绕垂直轴旋转角度范围≥+170/-155度；管围绕水平轴旋转角度范围≥+/-175度。</w:t>
            </w:r>
          </w:p>
          <w:p w14:paraId="52D6C72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5悬吊X射线球管自动跟踪功能</w:t>
            </w:r>
          </w:p>
          <w:p w14:paraId="1552641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5.1X射线球管可以垂直方向跟踪检查床面升降；X射线球管可以在垂直对中状态或倾斜角度状态跟踪检查床的探测器托架左右移动。</w:t>
            </w:r>
          </w:p>
          <w:p w14:paraId="601BB4B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5.2X射线球管可在垂直状态或倾斜状态下自动跟踪垂直或倾斜状态的胸片架探测器托架升降；水平状态的X线球管可以垂直跟踪胸片架水平状态的探测器托架垂直升降。</w:t>
            </w:r>
          </w:p>
          <w:p w14:paraId="3438789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▲6悬吊X射线球管可在检查床及胸片架摄影位置进行全电动位置切换对中定位，同时也可在胸片架100厘米及180厘米双位置电动切换定位。</w:t>
            </w:r>
          </w:p>
          <w:p w14:paraId="5035E99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7X射线球管端近台操作控制</w:t>
            </w:r>
          </w:p>
          <w:p w14:paraId="7B8A34E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7.1可以同步显示患者检查信息列表</w:t>
            </w:r>
          </w:p>
          <w:p w14:paraId="37D0A2D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7.2可以同步进行曝光界面操作：SID、球管角度显示，采集界面包括患者姓名、性别、检查体位、KV与mAs的显示及调节，AEC显示及选择，患者检查体型显示及设置，滤过显示。</w:t>
            </w:r>
          </w:p>
          <w:p w14:paraId="6B8F94E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▲7.3球管端近台操作屏，尺寸≥10英寸，可显示采集后的预览图像，并可确认操作。</w:t>
            </w:r>
          </w:p>
          <w:p w14:paraId="45C13DD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8X射线球管端状态指示灯可指示：机架运动、曝光、设备故障、紧急制动等状态。</w:t>
            </w:r>
          </w:p>
          <w:p w14:paraId="5ECCB8E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▲9红外遥控装置，可以控制包含：胸片架升降；束光器视野、指示灯控制；自动跟踪、自动定位等功能。</w:t>
            </w:r>
          </w:p>
          <w:p w14:paraId="2B4C177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六</w:t>
            </w:r>
            <w:r>
              <w:rPr>
                <w:rFonts w:hint="eastAsia" w:ascii="宋体" w:hAnsi="宋体" w:eastAsia="宋体" w:cs="Arial"/>
                <w:color w:val="auto"/>
                <w:kern w:val="0"/>
                <w:sz w:val="24"/>
                <w:szCs w:val="24"/>
                <w:highlight w:val="none"/>
                <w:lang w:eastAsia="zh-CN"/>
              </w:rPr>
              <w:t>、</w:t>
            </w:r>
            <w:r>
              <w:rPr>
                <w:rFonts w:hint="eastAsia" w:ascii="宋体" w:hAnsi="宋体" w:eastAsia="宋体" w:cs="Arial"/>
                <w:color w:val="auto"/>
                <w:kern w:val="0"/>
                <w:sz w:val="24"/>
                <w:szCs w:val="24"/>
                <w:highlight w:val="none"/>
              </w:rPr>
              <w:t>胸片架装置</w:t>
            </w:r>
          </w:p>
          <w:p w14:paraId="0BA759B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1探测器托架（bucky）垂直电动移动范围≥145厘米，翻转角度≥-20度- +90度。</w:t>
            </w:r>
          </w:p>
          <w:p w14:paraId="2BDEF87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2探测器托架支持43厘米X 43厘米型探测器</w:t>
            </w:r>
          </w:p>
          <w:p w14:paraId="13401A4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3电离室自动曝光</w:t>
            </w:r>
          </w:p>
          <w:p w14:paraId="58C790D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4可更换滤线栅装置，滤线栅密度≥40线/厘米，栅格比≥10:1， 摄影焦距满足100厘米-180厘米。</w:t>
            </w:r>
          </w:p>
          <w:p w14:paraId="421A7B5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▲5立柱顶端状态指示灯可指示：机架运动、曝光、设备故障、紧急制动等状态。</w:t>
            </w:r>
          </w:p>
          <w:p w14:paraId="1964E5C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▲6为保证胸片架安全性和稳定性，要求胸片盒与立柱连接支点位于胸片盒后方，非侧方的设计</w:t>
            </w:r>
          </w:p>
          <w:p w14:paraId="45DAD7C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七</w:t>
            </w:r>
            <w:r>
              <w:rPr>
                <w:rFonts w:hint="eastAsia" w:ascii="宋体" w:hAnsi="宋体" w:eastAsia="宋体" w:cs="Arial"/>
                <w:color w:val="auto"/>
                <w:kern w:val="0"/>
                <w:sz w:val="24"/>
                <w:szCs w:val="24"/>
                <w:highlight w:val="none"/>
                <w:lang w:eastAsia="zh-CN"/>
              </w:rPr>
              <w:t>、</w:t>
            </w:r>
            <w:r>
              <w:rPr>
                <w:rFonts w:hint="eastAsia" w:ascii="宋体" w:hAnsi="宋体" w:eastAsia="宋体" w:cs="Arial"/>
                <w:color w:val="auto"/>
                <w:kern w:val="0"/>
                <w:sz w:val="24"/>
                <w:szCs w:val="24"/>
                <w:highlight w:val="none"/>
              </w:rPr>
              <w:t>固定检查床装置</w:t>
            </w:r>
          </w:p>
          <w:p w14:paraId="253729D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1床面四方向浮动、升降固定安装检查床， 可电动升降，升降范围≥27厘米。</w:t>
            </w:r>
          </w:p>
          <w:p w14:paraId="5198E79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2床面水平横向移动≥±14厘米</w:t>
            </w:r>
          </w:p>
          <w:p w14:paraId="6755864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3床面水平纵向移动≥±38 厘米</w:t>
            </w:r>
          </w:p>
          <w:p w14:paraId="18472EF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4检查床探测器托架支持43厘米X43厘米规格探测器</w:t>
            </w:r>
          </w:p>
          <w:p w14:paraId="0FC1761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5脚踏式控制床面运动</w:t>
            </w:r>
          </w:p>
          <w:p w14:paraId="50DB768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6可更换滤线栅装置，滤线栅密度≥40线/厘米，栅格比≥10:1。</w:t>
            </w:r>
          </w:p>
          <w:p w14:paraId="56CEDF5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7床面最大承重≥290KG</w:t>
            </w:r>
          </w:p>
          <w:p w14:paraId="55375C1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8电离室自动曝光控制</w:t>
            </w:r>
          </w:p>
          <w:p w14:paraId="2616391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▲9双模式控制检查床运动：可通过床面侧导轨安装的控制手柄及脚踏式开关控制检查床面的升降及浮动，床面侧导轨安装的控制手柄可激活自动跟踪功能</w:t>
            </w:r>
          </w:p>
          <w:p w14:paraId="319F3E6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八</w:t>
            </w:r>
            <w:r>
              <w:rPr>
                <w:rFonts w:hint="eastAsia" w:ascii="宋体" w:hAnsi="宋体" w:eastAsia="宋体" w:cs="Arial"/>
                <w:color w:val="auto"/>
                <w:kern w:val="0"/>
                <w:sz w:val="24"/>
                <w:szCs w:val="24"/>
                <w:highlight w:val="none"/>
                <w:lang w:eastAsia="zh-CN"/>
              </w:rPr>
              <w:t>、</w:t>
            </w:r>
            <w:r>
              <w:rPr>
                <w:rFonts w:hint="eastAsia" w:ascii="宋体" w:hAnsi="宋体" w:eastAsia="宋体" w:cs="Arial"/>
                <w:color w:val="auto"/>
                <w:kern w:val="0"/>
                <w:sz w:val="24"/>
                <w:szCs w:val="24"/>
                <w:highlight w:val="none"/>
              </w:rPr>
              <w:t>主系统控制及图像处理系统</w:t>
            </w:r>
          </w:p>
          <w:p w14:paraId="4A3B2D0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1系统控制（包含发生器）与信息、图像控制一体化设计。</w:t>
            </w:r>
          </w:p>
          <w:p w14:paraId="4AF0D08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2具备触摸屏操作、 键盘操作、鼠标操作模式。</w:t>
            </w:r>
          </w:p>
          <w:p w14:paraId="6FCC7FC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3主机工作站硬盘容量≥500G，图像存贮容量不小于5000幅（非压缩）。</w:t>
            </w:r>
          </w:p>
          <w:p w14:paraId="6327830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4CPU主频≥3.6G</w:t>
            </w:r>
          </w:p>
          <w:p w14:paraId="1F63E62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5主机内存≥16GB</w:t>
            </w:r>
          </w:p>
          <w:p w14:paraId="702173F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6DVD光驱装置</w:t>
            </w:r>
          </w:p>
          <w:p w14:paraId="248A6C9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7监视器（LCD）尺寸≥23英寸</w:t>
            </w:r>
          </w:p>
          <w:p w14:paraId="15F3CBD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8接口支持：通过以太网输出DICOM-3.0格式图像,有传输、打印、存储、工作列表等功能。</w:t>
            </w:r>
          </w:p>
          <w:p w14:paraId="419CBA0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9条形码病人信息输入</w:t>
            </w:r>
          </w:p>
          <w:p w14:paraId="14AE040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 xml:space="preserve">10图像处理功能 </w:t>
            </w:r>
          </w:p>
          <w:p w14:paraId="5EECCB3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10.1图像放大功能</w:t>
            </w:r>
          </w:p>
          <w:p w14:paraId="307302E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10.2病人资料显示</w:t>
            </w:r>
          </w:p>
          <w:p w14:paraId="1BC5378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10.3边缘增强</w:t>
            </w:r>
          </w:p>
          <w:p w14:paraId="05D8D26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10.4亮度调节</w:t>
            </w:r>
          </w:p>
          <w:p w14:paraId="638D7F7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10.5对比度调节</w:t>
            </w:r>
          </w:p>
          <w:p w14:paraId="123F869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10.6图像反转</w:t>
            </w:r>
          </w:p>
          <w:p w14:paraId="5B1C983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10.7多频率窗/多灰度窗图像管理处理，提高图像显示动态范围，能够保证图像中高、低密度区域影响细节对比度清晰显示。</w:t>
            </w:r>
          </w:p>
          <w:p w14:paraId="773D2BB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10.8根据解剖部分自动进行图像优化处理</w:t>
            </w:r>
          </w:p>
          <w:p w14:paraId="3475443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10.9注释、测量功能</w:t>
            </w:r>
          </w:p>
          <w:p w14:paraId="073CC25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10.10图像打印排版功能</w:t>
            </w:r>
          </w:p>
          <w:p w14:paraId="411AAD3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11具有中文界面选择，图形化摄影体位选择，体型选择等功能。</w:t>
            </w:r>
          </w:p>
          <w:p w14:paraId="6DACD3D4">
            <w:pPr>
              <w:widowControl/>
              <w:tabs>
                <w:tab w:val="left" w:pos="420"/>
                <w:tab w:val="left" w:pos="900"/>
              </w:tabs>
              <w:rPr>
                <w:rFonts w:hint="eastAsia" w:ascii="宋体" w:hAnsi="宋体" w:eastAsia="宋体" w:cs="Arial"/>
                <w:color w:val="auto"/>
                <w:kern w:val="0"/>
                <w:sz w:val="24"/>
                <w:szCs w:val="24"/>
                <w:highlight w:val="none"/>
              </w:rPr>
            </w:pPr>
          </w:p>
          <w:p w14:paraId="5582A5F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12 可视化辅助功能（人工智能功能）</w:t>
            </w:r>
          </w:p>
          <w:p w14:paraId="197C4C4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▲12.1辅助摄影摆位（胸部正位）：通过识别患者3D影像，判断患者胸部正位摄影摆位是否满足需求。</w:t>
            </w:r>
          </w:p>
          <w:p w14:paraId="3BD936F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▲12.2辅助自动曝光参数：通过识别患者3D影像，根据患者体型，系统推荐自动曝光控制（AEC）的曝光参数。</w:t>
            </w:r>
          </w:p>
          <w:p w14:paraId="3D2F48F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▲12.3自动限束器光野调节：通过识别患者3D影像，根据患者体型，系统提供自动束光器光野的大小。</w:t>
            </w:r>
          </w:p>
          <w:p w14:paraId="3A9CE34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▲12.4可视化限束器：通过实时视频，用户可在操作软件上虚拟调整束光器的位置与大小，并可相应匹配实际束光器的位置与大小。</w:t>
            </w:r>
          </w:p>
          <w:p w14:paraId="38488F1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12.5实时视频辅助引导：通过实时视频，可帮助用户进行患者摆位的调整。</w:t>
            </w:r>
          </w:p>
          <w:p w14:paraId="4001A57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12.6具备双可视化辅助组件</w:t>
            </w:r>
          </w:p>
          <w:p w14:paraId="122EE38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12.7可编辑、预设及实时语音提示功能输出接口</w:t>
            </w:r>
          </w:p>
          <w:p w14:paraId="2C5A1E5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12.8摄影摆位姿势提示显示视频输出接口</w:t>
            </w:r>
          </w:p>
          <w:p w14:paraId="2170445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13高级后处理软件</w:t>
            </w:r>
          </w:p>
          <w:p w14:paraId="15852BD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▲13.1PICC管线增强显示处理软件，增强清晰显示管线。</w:t>
            </w:r>
          </w:p>
          <w:p w14:paraId="3BAD773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▲13.2气胸可视化处理软件：在一次曝光采集后可显示标准影像以及气胸清晰显示影像两幅。</w:t>
            </w:r>
          </w:p>
          <w:p w14:paraId="4D17228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▲13.3骨抑制软件：通过处理可去除胸部影像中骨骼部分显示，达到显示软组织结构的显示效果。</w:t>
            </w:r>
          </w:p>
          <w:p w14:paraId="6145337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▲13.4智能虚拟滤线栅，可不使用实体滤线栅，仅用软件处理，可达到降低散射线影响、降低影像灰雾、降低曝光剂量的目的。</w:t>
            </w:r>
          </w:p>
          <w:p w14:paraId="30D9AD7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▲13.5配置原厂体检专用套件（包含体检模式、尘肺病检查模式）</w:t>
            </w:r>
          </w:p>
          <w:p w14:paraId="73845EA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14DR全长摄影功能（全自动图像拼接）：1套</w:t>
            </w:r>
          </w:p>
          <w:p w14:paraId="1162CE2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14.1通过实时视频，用户在操作工作站即可观察并调整长骨图像曝光区域，系统可自动计算出所要采集的图像数量，定位机架做好采集准备。用户按下曝光键，系统可自动采集、自动拼接长骨摄影图像，全自动实现整个过程</w:t>
            </w:r>
          </w:p>
          <w:p w14:paraId="00B911E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14.2该功能可以完全在DR的一体化控制台上全自动的完成，无需额外的图像处理工作站</w:t>
            </w:r>
          </w:p>
          <w:p w14:paraId="314EC06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14.3该系统可以自动控制球管的角度摆动、相应的探测器位置跟踪对中（非球管与探测器同步平行运动方式）。</w:t>
            </w:r>
          </w:p>
          <w:p w14:paraId="30EA875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14.4最大连续曝光采集≤5幅影像（站立位）</w:t>
            </w:r>
          </w:p>
          <w:p w14:paraId="1C2BF79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14.5系统包含患者固定站立架、边侧滑槽及附件安转滑槽、一体化标尺，患者固定扶手</w:t>
            </w:r>
          </w:p>
          <w:p w14:paraId="052F0F39">
            <w:pPr>
              <w:pStyle w:val="2"/>
              <w:ind w:left="0" w:leftChars="0" w:firstLine="0" w:firstLineChars="0"/>
              <w:rPr>
                <w:rFonts w:hint="default" w:eastAsia="宋体"/>
                <w:color w:val="auto"/>
                <w:highlight w:val="none"/>
                <w:lang w:val="en-US" w:eastAsia="zh-CN"/>
              </w:rPr>
            </w:pPr>
            <w:r>
              <w:rPr>
                <w:rFonts w:hint="eastAsia" w:cs="Arial"/>
                <w:color w:val="auto"/>
                <w:kern w:val="0"/>
                <w:sz w:val="24"/>
                <w:szCs w:val="24"/>
                <w:highlight w:val="none"/>
                <w:lang w:val="en-US" w:eastAsia="zh-CN"/>
              </w:rPr>
              <w:t>15负责该设备放射预评价及控评。</w:t>
            </w:r>
          </w:p>
        </w:tc>
        <w:tc>
          <w:tcPr>
            <w:tcW w:w="454" w:type="pct"/>
            <w:tcBorders>
              <w:top w:val="single" w:color="auto" w:sz="4" w:space="0"/>
              <w:left w:val="nil"/>
              <w:bottom w:val="single" w:color="auto" w:sz="4" w:space="0"/>
              <w:right w:val="single" w:color="auto" w:sz="4" w:space="0"/>
            </w:tcBorders>
            <w:shd w:val="clear" w:color="auto" w:fill="FFFFFF"/>
            <w:vAlign w:val="center"/>
          </w:tcPr>
          <w:p w14:paraId="7A2B59B6">
            <w:pPr>
              <w:widowControl/>
              <w:tabs>
                <w:tab w:val="left" w:pos="900"/>
              </w:tabs>
              <w:jc w:val="center"/>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套</w:t>
            </w:r>
          </w:p>
        </w:tc>
        <w:tc>
          <w:tcPr>
            <w:tcW w:w="454" w:type="pct"/>
            <w:tcBorders>
              <w:top w:val="single" w:color="auto" w:sz="4" w:space="0"/>
              <w:left w:val="nil"/>
              <w:bottom w:val="single" w:color="auto" w:sz="4" w:space="0"/>
              <w:right w:val="single" w:color="auto" w:sz="4" w:space="0"/>
            </w:tcBorders>
            <w:shd w:val="clear" w:color="auto" w:fill="FFFFFF"/>
            <w:vAlign w:val="center"/>
          </w:tcPr>
          <w:p w14:paraId="67FA63FF">
            <w:pPr>
              <w:widowControl/>
              <w:tabs>
                <w:tab w:val="left" w:pos="900"/>
              </w:tabs>
              <w:jc w:val="center"/>
              <w:textAlignment w:val="center"/>
              <w:rPr>
                <w:rFonts w:hint="default" w:ascii="宋体" w:hAnsi="宋体" w:eastAsia="宋体" w:cs="Arial"/>
                <w:color w:val="auto"/>
                <w:kern w:val="0"/>
                <w:sz w:val="24"/>
                <w:szCs w:val="24"/>
                <w:highlight w:val="none"/>
                <w:lang w:val="en-US" w:eastAsia="zh-CN"/>
              </w:rPr>
            </w:pPr>
            <w:r>
              <w:rPr>
                <w:rFonts w:hint="eastAsia" w:ascii="宋体" w:hAnsi="宋体" w:eastAsia="宋体" w:cs="Arial"/>
                <w:color w:val="auto"/>
                <w:kern w:val="0"/>
                <w:sz w:val="24"/>
                <w:szCs w:val="24"/>
                <w:highlight w:val="none"/>
                <w:lang w:val="en-US" w:eastAsia="zh-CN"/>
              </w:rPr>
              <w:t>1</w:t>
            </w:r>
          </w:p>
        </w:tc>
        <w:tc>
          <w:tcPr>
            <w:tcW w:w="618" w:type="pct"/>
            <w:tcBorders>
              <w:top w:val="single" w:color="auto" w:sz="4" w:space="0"/>
              <w:left w:val="nil"/>
              <w:bottom w:val="single" w:color="auto" w:sz="4" w:space="0"/>
              <w:right w:val="single" w:color="auto" w:sz="4" w:space="0"/>
            </w:tcBorders>
            <w:vAlign w:val="center"/>
          </w:tcPr>
          <w:p w14:paraId="5F35F272">
            <w:pPr>
              <w:widowControl/>
              <w:jc w:val="center"/>
              <w:rPr>
                <w:rFonts w:hint="eastAsia" w:ascii="宋体" w:hAnsi="宋体" w:eastAsia="宋体" w:cs="Arial"/>
                <w:color w:val="auto"/>
                <w:kern w:val="0"/>
                <w:sz w:val="24"/>
                <w:szCs w:val="24"/>
                <w:highlight w:val="none"/>
                <w:lang w:val="en-US" w:eastAsia="zh-CN"/>
              </w:rPr>
            </w:pPr>
            <w:r>
              <w:rPr>
                <w:rFonts w:hint="eastAsia" w:ascii="宋体" w:hAnsi="宋体" w:eastAsia="宋体" w:cs="Arial"/>
                <w:color w:val="auto"/>
                <w:kern w:val="0"/>
                <w:sz w:val="24"/>
                <w:szCs w:val="24"/>
                <w:highlight w:val="none"/>
                <w:lang w:val="en-US" w:eastAsia="zh-CN"/>
              </w:rPr>
              <w:t>否</w:t>
            </w:r>
          </w:p>
        </w:tc>
      </w:tr>
    </w:tbl>
    <w:p w14:paraId="52A1DDCC">
      <w:pPr>
        <w:keepNext w:val="0"/>
        <w:keepLines w:val="0"/>
        <w:pageBreakBefore/>
        <w:widowControl w:val="0"/>
        <w:kinsoku/>
        <w:wordWrap/>
        <w:overflowPunct/>
        <w:topLinePunct w:val="0"/>
        <w:autoSpaceDE/>
        <w:autoSpaceDN/>
        <w:bidi w:val="0"/>
        <w:adjustRightInd/>
        <w:snapToGrid/>
        <w:spacing w:line="360" w:lineRule="auto"/>
        <w:ind w:firstLine="437"/>
        <w:textAlignment w:val="auto"/>
        <w:outlineLvl w:val="2"/>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0</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包：</w:t>
      </w:r>
    </w:p>
    <w:tbl>
      <w:tblPr>
        <w:tblStyle w:val="2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5"/>
        <w:gridCol w:w="1364"/>
        <w:gridCol w:w="4028"/>
        <w:gridCol w:w="706"/>
        <w:gridCol w:w="774"/>
        <w:gridCol w:w="1055"/>
      </w:tblGrid>
      <w:tr w14:paraId="43C05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9" w:type="pct"/>
            <w:tcBorders>
              <w:top w:val="single" w:color="auto" w:sz="4" w:space="0"/>
              <w:left w:val="single" w:color="auto" w:sz="4" w:space="0"/>
              <w:bottom w:val="single" w:color="auto" w:sz="4" w:space="0"/>
              <w:right w:val="single" w:color="auto" w:sz="4" w:space="0"/>
            </w:tcBorders>
            <w:shd w:val="clear" w:color="auto" w:fill="FFFFFF"/>
            <w:vAlign w:val="center"/>
          </w:tcPr>
          <w:p w14:paraId="632D293E">
            <w:pPr>
              <w:widowControl/>
              <w:tabs>
                <w:tab w:val="left" w:pos="420"/>
                <w:tab w:val="left" w:pos="900"/>
              </w:tabs>
              <w:jc w:val="center"/>
              <w:rPr>
                <w:rFonts w:hint="eastAsia" w:ascii="宋体" w:hAnsi="宋体" w:eastAsia="宋体" w:cs="Arial"/>
                <w:b/>
                <w:bCs/>
                <w:color w:val="auto"/>
                <w:kern w:val="0"/>
                <w:sz w:val="24"/>
                <w:szCs w:val="24"/>
                <w:highlight w:val="none"/>
              </w:rPr>
            </w:pPr>
            <w:r>
              <w:rPr>
                <w:rFonts w:hint="eastAsia" w:ascii="宋体" w:hAnsi="宋体" w:eastAsia="宋体" w:cs="Arial"/>
                <w:b/>
                <w:bCs/>
                <w:color w:val="auto"/>
                <w:kern w:val="0"/>
                <w:sz w:val="24"/>
                <w:szCs w:val="24"/>
                <w:highlight w:val="none"/>
              </w:rPr>
              <w:t>序号</w:t>
            </w:r>
          </w:p>
        </w:tc>
        <w:tc>
          <w:tcPr>
            <w:tcW w:w="800" w:type="pct"/>
            <w:tcBorders>
              <w:top w:val="single" w:color="auto" w:sz="4" w:space="0"/>
              <w:left w:val="nil"/>
              <w:bottom w:val="single" w:color="auto" w:sz="4" w:space="0"/>
              <w:right w:val="single" w:color="auto" w:sz="4" w:space="0"/>
            </w:tcBorders>
            <w:shd w:val="clear" w:color="auto" w:fill="FFFFFF"/>
            <w:vAlign w:val="center"/>
          </w:tcPr>
          <w:p w14:paraId="321FCF02">
            <w:pPr>
              <w:widowControl/>
              <w:tabs>
                <w:tab w:val="left" w:pos="420"/>
                <w:tab w:val="left" w:pos="900"/>
              </w:tabs>
              <w:jc w:val="center"/>
              <w:rPr>
                <w:rFonts w:hint="eastAsia" w:ascii="宋体" w:hAnsi="宋体" w:eastAsia="宋体" w:cs="Arial"/>
                <w:b/>
                <w:bCs/>
                <w:color w:val="auto"/>
                <w:kern w:val="0"/>
                <w:sz w:val="24"/>
                <w:szCs w:val="24"/>
                <w:highlight w:val="none"/>
              </w:rPr>
            </w:pPr>
            <w:r>
              <w:rPr>
                <w:rFonts w:hint="eastAsia" w:ascii="宋体" w:hAnsi="宋体" w:eastAsia="宋体" w:cs="Arial"/>
                <w:b/>
                <w:bCs/>
                <w:color w:val="auto"/>
                <w:kern w:val="0"/>
                <w:sz w:val="24"/>
                <w:szCs w:val="24"/>
                <w:highlight w:val="none"/>
              </w:rPr>
              <w:t>货物名称</w:t>
            </w:r>
          </w:p>
        </w:tc>
        <w:tc>
          <w:tcPr>
            <w:tcW w:w="2362" w:type="pct"/>
            <w:tcBorders>
              <w:top w:val="single" w:color="auto" w:sz="4" w:space="0"/>
              <w:left w:val="nil"/>
              <w:bottom w:val="single" w:color="auto" w:sz="4" w:space="0"/>
              <w:right w:val="single" w:color="auto" w:sz="4" w:space="0"/>
            </w:tcBorders>
            <w:shd w:val="clear" w:color="auto" w:fill="FFFFFF"/>
            <w:vAlign w:val="center"/>
          </w:tcPr>
          <w:p w14:paraId="6474D508">
            <w:pPr>
              <w:widowControl/>
              <w:tabs>
                <w:tab w:val="left" w:pos="420"/>
                <w:tab w:val="left" w:pos="900"/>
              </w:tabs>
              <w:jc w:val="center"/>
              <w:rPr>
                <w:rFonts w:hint="eastAsia" w:ascii="宋体" w:hAnsi="宋体" w:eastAsia="宋体" w:cs="Arial"/>
                <w:b/>
                <w:bCs/>
                <w:color w:val="auto"/>
                <w:kern w:val="0"/>
                <w:sz w:val="24"/>
                <w:szCs w:val="24"/>
                <w:highlight w:val="none"/>
              </w:rPr>
            </w:pPr>
            <w:r>
              <w:rPr>
                <w:rFonts w:hint="eastAsia" w:ascii="宋体" w:hAnsi="宋体" w:eastAsia="宋体" w:cs="Arial"/>
                <w:b/>
                <w:bCs/>
                <w:color w:val="auto"/>
                <w:kern w:val="0"/>
                <w:sz w:val="24"/>
                <w:szCs w:val="24"/>
                <w:highlight w:val="none"/>
              </w:rPr>
              <w:t>技术参数及要求</w:t>
            </w:r>
          </w:p>
        </w:tc>
        <w:tc>
          <w:tcPr>
            <w:tcW w:w="414" w:type="pct"/>
            <w:tcBorders>
              <w:top w:val="single" w:color="auto" w:sz="4" w:space="0"/>
              <w:left w:val="nil"/>
              <w:bottom w:val="single" w:color="auto" w:sz="4" w:space="0"/>
              <w:right w:val="single" w:color="auto" w:sz="4" w:space="0"/>
            </w:tcBorders>
            <w:shd w:val="clear" w:color="auto" w:fill="FFFFFF"/>
            <w:vAlign w:val="center"/>
          </w:tcPr>
          <w:p w14:paraId="4FE81839">
            <w:pPr>
              <w:widowControl/>
              <w:tabs>
                <w:tab w:val="left" w:pos="420"/>
                <w:tab w:val="left" w:pos="900"/>
              </w:tabs>
              <w:jc w:val="center"/>
              <w:rPr>
                <w:rFonts w:hint="eastAsia" w:ascii="宋体" w:hAnsi="宋体" w:eastAsia="宋体" w:cs="Arial"/>
                <w:b/>
                <w:bCs/>
                <w:color w:val="auto"/>
                <w:kern w:val="0"/>
                <w:sz w:val="24"/>
                <w:szCs w:val="24"/>
                <w:highlight w:val="none"/>
              </w:rPr>
            </w:pPr>
            <w:r>
              <w:rPr>
                <w:rFonts w:hint="eastAsia" w:ascii="宋体" w:hAnsi="宋体" w:eastAsia="宋体" w:cs="Arial"/>
                <w:b/>
                <w:bCs/>
                <w:color w:val="auto"/>
                <w:kern w:val="0"/>
                <w:sz w:val="24"/>
                <w:szCs w:val="24"/>
                <w:highlight w:val="none"/>
              </w:rPr>
              <w:t>单位</w:t>
            </w:r>
          </w:p>
        </w:tc>
        <w:tc>
          <w:tcPr>
            <w:tcW w:w="454" w:type="pct"/>
            <w:tcBorders>
              <w:top w:val="single" w:color="auto" w:sz="4" w:space="0"/>
              <w:left w:val="nil"/>
              <w:bottom w:val="single" w:color="auto" w:sz="4" w:space="0"/>
              <w:right w:val="single" w:color="auto" w:sz="4" w:space="0"/>
            </w:tcBorders>
            <w:shd w:val="clear" w:color="auto" w:fill="FFFFFF"/>
            <w:vAlign w:val="center"/>
          </w:tcPr>
          <w:p w14:paraId="4D696179">
            <w:pPr>
              <w:widowControl/>
              <w:tabs>
                <w:tab w:val="left" w:pos="420"/>
                <w:tab w:val="left" w:pos="900"/>
              </w:tabs>
              <w:jc w:val="center"/>
              <w:rPr>
                <w:rFonts w:hint="eastAsia" w:ascii="宋体" w:hAnsi="宋体" w:eastAsia="宋体" w:cs="Arial"/>
                <w:b/>
                <w:bCs/>
                <w:color w:val="auto"/>
                <w:kern w:val="0"/>
                <w:sz w:val="24"/>
                <w:szCs w:val="24"/>
                <w:highlight w:val="none"/>
              </w:rPr>
            </w:pPr>
            <w:r>
              <w:rPr>
                <w:rFonts w:hint="eastAsia" w:ascii="宋体" w:hAnsi="宋体" w:eastAsia="宋体" w:cs="Arial"/>
                <w:b/>
                <w:bCs/>
                <w:color w:val="auto"/>
                <w:kern w:val="0"/>
                <w:sz w:val="24"/>
                <w:szCs w:val="24"/>
                <w:highlight w:val="none"/>
              </w:rPr>
              <w:t>采购数量</w:t>
            </w:r>
          </w:p>
        </w:tc>
        <w:tc>
          <w:tcPr>
            <w:tcW w:w="618" w:type="pct"/>
            <w:tcBorders>
              <w:top w:val="single" w:color="auto" w:sz="4" w:space="0"/>
              <w:left w:val="nil"/>
              <w:bottom w:val="single" w:color="auto" w:sz="4" w:space="0"/>
              <w:right w:val="single" w:color="auto" w:sz="4" w:space="0"/>
            </w:tcBorders>
            <w:shd w:val="clear" w:color="auto" w:fill="FFFFFF"/>
            <w:vAlign w:val="center"/>
          </w:tcPr>
          <w:p w14:paraId="2C51E664">
            <w:pPr>
              <w:widowControl/>
              <w:tabs>
                <w:tab w:val="left" w:pos="420"/>
                <w:tab w:val="left" w:pos="900"/>
              </w:tabs>
              <w:jc w:val="center"/>
              <w:rPr>
                <w:rFonts w:hint="eastAsia" w:ascii="宋体" w:hAnsi="宋体" w:eastAsia="宋体" w:cs="Arial"/>
                <w:b/>
                <w:bCs/>
                <w:color w:val="auto"/>
                <w:kern w:val="0"/>
                <w:sz w:val="24"/>
                <w:szCs w:val="24"/>
                <w:highlight w:val="none"/>
              </w:rPr>
            </w:pPr>
            <w:r>
              <w:rPr>
                <w:rFonts w:hint="eastAsia" w:ascii="宋体" w:hAnsi="宋体" w:eastAsia="宋体" w:cs="Arial"/>
                <w:b/>
                <w:bCs/>
                <w:color w:val="auto"/>
                <w:kern w:val="0"/>
                <w:sz w:val="24"/>
                <w:szCs w:val="24"/>
                <w:highlight w:val="none"/>
              </w:rPr>
              <w:t>是否为核心产品</w:t>
            </w:r>
          </w:p>
        </w:tc>
      </w:tr>
      <w:tr w14:paraId="1922F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6" w:hRule="atLeast"/>
          <w:jc w:val="center"/>
        </w:trPr>
        <w:tc>
          <w:tcPr>
            <w:tcW w:w="349" w:type="pct"/>
            <w:tcBorders>
              <w:top w:val="single" w:color="auto" w:sz="4" w:space="0"/>
              <w:left w:val="single" w:color="auto" w:sz="4" w:space="0"/>
              <w:bottom w:val="single" w:color="auto" w:sz="4" w:space="0"/>
              <w:right w:val="single" w:color="auto" w:sz="4" w:space="0"/>
            </w:tcBorders>
            <w:shd w:val="clear" w:color="auto" w:fill="FFFFFF"/>
            <w:vAlign w:val="center"/>
          </w:tcPr>
          <w:p w14:paraId="1D4C2B4B">
            <w:pPr>
              <w:tabs>
                <w:tab w:val="left" w:pos="900"/>
              </w:tabs>
              <w:jc w:val="center"/>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w:t>
            </w:r>
          </w:p>
        </w:tc>
        <w:tc>
          <w:tcPr>
            <w:tcW w:w="800" w:type="pct"/>
            <w:tcBorders>
              <w:top w:val="single" w:color="auto" w:sz="4" w:space="0"/>
              <w:left w:val="nil"/>
              <w:bottom w:val="single" w:color="auto" w:sz="4" w:space="0"/>
              <w:right w:val="single" w:color="auto" w:sz="4" w:space="0"/>
            </w:tcBorders>
            <w:shd w:val="clear" w:color="auto" w:fill="FFFFFF"/>
            <w:vAlign w:val="center"/>
          </w:tcPr>
          <w:p w14:paraId="1D96C959">
            <w:pPr>
              <w:keepNext w:val="0"/>
              <w:keepLines w:val="0"/>
              <w:pageBreakBefore w:val="0"/>
              <w:widowControl w:val="0"/>
              <w:tabs>
                <w:tab w:val="left" w:pos="900"/>
              </w:tabs>
              <w:kinsoku/>
              <w:wordWrap/>
              <w:overflowPunct/>
              <w:topLinePunct w:val="0"/>
              <w:autoSpaceDE/>
              <w:autoSpaceDN/>
              <w:bidi w:val="0"/>
              <w:adjustRightInd/>
              <w:snapToGrid/>
              <w:jc w:val="center"/>
              <w:textAlignment w:val="center"/>
              <w:rPr>
                <w:rFonts w:hint="eastAsia" w:ascii="宋体" w:hAnsi="宋体" w:eastAsia="宋体" w:cs="Arial"/>
                <w:color w:val="auto"/>
                <w:kern w:val="0"/>
                <w:sz w:val="24"/>
                <w:szCs w:val="24"/>
                <w:highlight w:val="none"/>
                <w:lang w:eastAsia="zh-CN"/>
              </w:rPr>
            </w:pPr>
            <w:r>
              <w:rPr>
                <w:rFonts w:hint="eastAsia" w:ascii="宋体" w:hAnsi="宋体" w:eastAsia="宋体" w:cs="Arial"/>
                <w:color w:val="auto"/>
                <w:kern w:val="0"/>
                <w:sz w:val="24"/>
                <w:szCs w:val="24"/>
                <w:highlight w:val="none"/>
                <w:lang w:eastAsia="zh-CN"/>
              </w:rPr>
              <w:t>医用诊断X射线透视摄影系统（数字胃肠机）</w:t>
            </w:r>
          </w:p>
        </w:tc>
        <w:tc>
          <w:tcPr>
            <w:tcW w:w="2362" w:type="pct"/>
            <w:tcBorders>
              <w:top w:val="single" w:color="auto" w:sz="4" w:space="0"/>
              <w:left w:val="nil"/>
              <w:bottom w:val="single" w:color="auto" w:sz="4" w:space="0"/>
              <w:right w:val="single" w:color="auto" w:sz="4" w:space="0"/>
            </w:tcBorders>
            <w:shd w:val="clear" w:color="auto" w:fill="FFFFFF"/>
            <w:vAlign w:val="center"/>
          </w:tcPr>
          <w:p w14:paraId="5ACA27B8">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一、功能及用途</w:t>
            </w:r>
          </w:p>
          <w:p w14:paraId="18091A53">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具备数字透视、数字点片摄影和数字DR摄影功能。可进行胸部和腹部透视、消化道造影、泌尿生殖系统造影、胆道造影以及下肢静脉等多种造影；可进行头颅、胸部、腹部和四肢等部位的DR摄影；也可用于在透视下进行骨折整复、取异物等。</w:t>
            </w:r>
          </w:p>
          <w:p w14:paraId="6CE34FA1">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二、技术要求</w:t>
            </w:r>
          </w:p>
          <w:p w14:paraId="27639977">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1、高压发生器</w:t>
            </w:r>
          </w:p>
          <w:p w14:paraId="789A0310">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 输出标称功率≥80KW</w:t>
            </w:r>
          </w:p>
          <w:p w14:paraId="5D0EEB45">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1.2 逆变频率≥500KHz</w:t>
            </w:r>
          </w:p>
          <w:p w14:paraId="2082B296">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1.3 摄影管电压范围：40KV~150KV</w:t>
            </w:r>
          </w:p>
          <w:p w14:paraId="65425575">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1.4 摄影最大管电流：≥1000mA</w:t>
            </w:r>
          </w:p>
          <w:p w14:paraId="69B16FE0">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1.5 摄影 mAs：≥1000mAs</w:t>
            </w:r>
          </w:p>
          <w:p w14:paraId="22F57A68">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1.6 最短曝光时间：≤1ms</w:t>
            </w:r>
          </w:p>
          <w:p w14:paraId="47A2CFEF">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1.7 透视管电压范围：40KV~125KV</w:t>
            </w:r>
          </w:p>
          <w:p w14:paraId="70F91574">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1.8 连续透视管电流：最小≤0.5mA，最大≥10mA</w:t>
            </w:r>
          </w:p>
          <w:p w14:paraId="4370E9B1">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1.9 脉冲透视管电流：最小≤5mA，最大≥20mA</w:t>
            </w:r>
          </w:p>
          <w:p w14:paraId="395926E4">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2、X 射线管组件</w:t>
            </w:r>
          </w:p>
          <w:p w14:paraId="2F14311B">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 原装X射线球管</w:t>
            </w:r>
          </w:p>
          <w:p w14:paraId="7FEB7E00">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2.2 球管焦点：大焦/小焦≤1.2mm/0.6mm</w:t>
            </w:r>
          </w:p>
          <w:p w14:paraId="6C4451A3">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2.3 输入功率：大焦点≥100kW，小焦点≥40kW</w:t>
            </w:r>
          </w:p>
          <w:p w14:paraId="2D087590">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▲2.4 阳极热容量：≥600KHU</w:t>
            </w:r>
          </w:p>
          <w:p w14:paraId="7DB8215D">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2.5 管套热容量：≥2000KHU</w:t>
            </w:r>
          </w:p>
          <w:p w14:paraId="205B3D4F">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2.6 旋转阳极速度：≥9700rpm</w:t>
            </w:r>
          </w:p>
          <w:p w14:paraId="7FFDF8F6">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3、滤线栅</w:t>
            </w:r>
          </w:p>
          <w:p w14:paraId="4C766E98">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3.1 栅密度：≥230LPI/INCH</w:t>
            </w:r>
          </w:p>
          <w:p w14:paraId="6ACE66C4">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▲3.2 两块高密滤线栅，会聚距离分别为 100cm/180cm，专距专用</w:t>
            </w:r>
          </w:p>
          <w:p w14:paraId="1AB2EF4F">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4、动态平板探测器</w:t>
            </w:r>
          </w:p>
          <w:p w14:paraId="3FCD354D">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4.1 探测器类型：非晶硅动态平板探测器</w:t>
            </w:r>
          </w:p>
          <w:p w14:paraId="6E3F8869">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4.2 有效面积：≥427mm×427mm</w:t>
            </w:r>
          </w:p>
          <w:p w14:paraId="7BA6478A">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4.3 像素矩阵：≥3072 (H)×3072 (V)</w:t>
            </w:r>
          </w:p>
          <w:p w14:paraId="233A1840">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4.4 像素大小：≤139μm</w:t>
            </w:r>
          </w:p>
          <w:p w14:paraId="4487F201">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▲4.5 空间分辨率：≥3.7 lp/mm</w:t>
            </w:r>
          </w:p>
          <w:p w14:paraId="7AE41D9F">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4.6 数字灰阶度：≥16bit</w:t>
            </w:r>
          </w:p>
          <w:p w14:paraId="33037D0D">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▲4.7 连续透视最高帧频≥30fps；最高脉冲透视≥22fps</w:t>
            </w:r>
          </w:p>
          <w:p w14:paraId="5981F38C">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4.8 具备 AEC 电离室，即自动控制曝光参数功能</w:t>
            </w:r>
          </w:p>
          <w:p w14:paraId="2A40D795">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5、多功能岛屿式电动诊断床</w:t>
            </w:r>
          </w:p>
          <w:p w14:paraId="60329AEE">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▲5.1 床身旋转角度：-90°~+90°</w:t>
            </w:r>
          </w:p>
          <w:p w14:paraId="742C8BAC">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▲5.2 床面电动升降，升降范围≥790mm</w:t>
            </w:r>
          </w:p>
          <w:p w14:paraId="50B4AF5D">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▲5.3 床面距地面最低≤605mm</w:t>
            </w:r>
          </w:p>
          <w:p w14:paraId="4FBEBB6A">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5.4 点片装置纵向移动：≥985mm</w:t>
            </w:r>
          </w:p>
          <w:p w14:paraId="4E9950FE">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5.5 床面横向移动范围：≥315mm</w:t>
            </w:r>
          </w:p>
          <w:p w14:paraId="110BCD08">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▲5.6 具有自动摆位功能，且球管摆动 ＋45°~0°~－45°</w:t>
            </w:r>
          </w:p>
          <w:p w14:paraId="211D17C5">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▲5.7 为满足尘肺病筛查，球管电动拉伸，SID 焦距 1000mm~1800mm</w:t>
            </w:r>
          </w:p>
          <w:p w14:paraId="0BD0C97F">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5.8 有紧急制动装置和床边控制</w:t>
            </w:r>
          </w:p>
          <w:p w14:paraId="6AFC2FB2">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▲5.9 远距离活动式隔室遥控操作台：不少于4个重力感应操作杆分别或同时对床台倾斜、探测器纵向移动、摄影床床面移动、限束器等进行隔室控制</w:t>
            </w:r>
          </w:p>
          <w:p w14:paraId="79A34FA6">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6、工作站</w:t>
            </w:r>
          </w:p>
          <w:p w14:paraId="28CE10CF">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6.1 显示器：医用 2M 灰阶显示屏</w:t>
            </w:r>
          </w:p>
          <w:p w14:paraId="75494F23">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6.2 具备报告生成以及报告打印功能，并内置多种可编辑报告模板</w:t>
            </w:r>
          </w:p>
          <w:p w14:paraId="740AB61B">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6.3 可与医院支持 DICOM3.0 标准的 PACS 系统相连，共享图像资料</w:t>
            </w:r>
          </w:p>
          <w:p w14:paraId="79A23C0F">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6.4 标配长骨拼接功能（非手动拼接）</w:t>
            </w:r>
          </w:p>
          <w:p w14:paraId="121D842D">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6.5 DAP 功能：标配硬件 DAP 电离室（非 DAP 软件功能）</w:t>
            </w:r>
          </w:p>
          <w:p w14:paraId="56B8F678">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7配套设施：</w:t>
            </w:r>
          </w:p>
          <w:p w14:paraId="32EAFF5E">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机房防护工程以及预控环评。影像设备移机，以及机房辐射建设。</w:t>
            </w:r>
          </w:p>
          <w:p w14:paraId="1E973422">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空气消毒机1台、除湿机1台、防辐射用品儿童、成人各3套(铅当量不低于0.5mmPb)(含铅衣、铅帽、铅围裙、铅方巾、铅围脖、铅眼镜)、货架（平铺铅衣），挂架2副，铅帘等配套设施必须满足医院实际需求。</w:t>
            </w:r>
          </w:p>
        </w:tc>
        <w:tc>
          <w:tcPr>
            <w:tcW w:w="414" w:type="pct"/>
            <w:tcBorders>
              <w:top w:val="single" w:color="auto" w:sz="4" w:space="0"/>
              <w:left w:val="nil"/>
              <w:bottom w:val="single" w:color="auto" w:sz="4" w:space="0"/>
              <w:right w:val="single" w:color="auto" w:sz="4" w:space="0"/>
            </w:tcBorders>
            <w:shd w:val="clear" w:color="auto" w:fill="FFFFFF"/>
            <w:vAlign w:val="center"/>
          </w:tcPr>
          <w:p w14:paraId="279FE251">
            <w:pPr>
              <w:tabs>
                <w:tab w:val="left" w:pos="900"/>
              </w:tabs>
              <w:jc w:val="center"/>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套</w:t>
            </w:r>
          </w:p>
        </w:tc>
        <w:tc>
          <w:tcPr>
            <w:tcW w:w="454" w:type="pct"/>
            <w:tcBorders>
              <w:top w:val="single" w:color="auto" w:sz="4" w:space="0"/>
              <w:left w:val="nil"/>
              <w:bottom w:val="single" w:color="auto" w:sz="4" w:space="0"/>
              <w:right w:val="single" w:color="auto" w:sz="4" w:space="0"/>
            </w:tcBorders>
            <w:shd w:val="clear" w:color="auto" w:fill="FFFFFF"/>
            <w:vAlign w:val="center"/>
          </w:tcPr>
          <w:p w14:paraId="78AC61E5">
            <w:pPr>
              <w:tabs>
                <w:tab w:val="left" w:pos="900"/>
              </w:tabs>
              <w:jc w:val="center"/>
              <w:textAlignment w:val="center"/>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w:t>
            </w:r>
          </w:p>
        </w:tc>
        <w:tc>
          <w:tcPr>
            <w:tcW w:w="618" w:type="pct"/>
            <w:tcBorders>
              <w:top w:val="single" w:color="auto" w:sz="4" w:space="0"/>
              <w:left w:val="nil"/>
              <w:bottom w:val="single" w:color="auto" w:sz="4" w:space="0"/>
              <w:right w:val="single" w:color="auto" w:sz="4" w:space="0"/>
            </w:tcBorders>
            <w:shd w:val="clear" w:color="auto" w:fill="FFFFFF"/>
            <w:vAlign w:val="center"/>
          </w:tcPr>
          <w:p w14:paraId="15E63D7D">
            <w:pPr>
              <w:tabs>
                <w:tab w:val="left" w:pos="900"/>
              </w:tabs>
              <w:jc w:val="center"/>
              <w:textAlignment w:val="center"/>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是</w:t>
            </w:r>
          </w:p>
        </w:tc>
      </w:tr>
    </w:tbl>
    <w:p w14:paraId="17B63D23">
      <w:pPr>
        <w:keepNext w:val="0"/>
        <w:keepLines w:val="0"/>
        <w:pageBreakBefore/>
        <w:widowControl w:val="0"/>
        <w:kinsoku/>
        <w:wordWrap/>
        <w:overflowPunct/>
        <w:topLinePunct w:val="0"/>
        <w:autoSpaceDE/>
        <w:autoSpaceDN/>
        <w:bidi w:val="0"/>
        <w:adjustRightInd/>
        <w:snapToGrid/>
        <w:spacing w:line="360" w:lineRule="auto"/>
        <w:ind w:firstLine="437"/>
        <w:textAlignment w:val="auto"/>
        <w:outlineLvl w:val="2"/>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0</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包：</w:t>
      </w:r>
    </w:p>
    <w:tbl>
      <w:tblPr>
        <w:tblStyle w:val="2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5"/>
        <w:gridCol w:w="1442"/>
        <w:gridCol w:w="3882"/>
        <w:gridCol w:w="774"/>
        <w:gridCol w:w="774"/>
        <w:gridCol w:w="1055"/>
      </w:tblGrid>
      <w:tr w14:paraId="59C26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9" w:type="pct"/>
            <w:tcBorders>
              <w:top w:val="single" w:color="auto" w:sz="4" w:space="0"/>
              <w:left w:val="single" w:color="auto" w:sz="4" w:space="0"/>
              <w:bottom w:val="single" w:color="auto" w:sz="4" w:space="0"/>
              <w:right w:val="single" w:color="auto" w:sz="4" w:space="0"/>
            </w:tcBorders>
            <w:shd w:val="clear" w:color="auto" w:fill="FFFFFF"/>
            <w:vAlign w:val="center"/>
          </w:tcPr>
          <w:p w14:paraId="7A48CCCA">
            <w:pPr>
              <w:widowControl/>
              <w:tabs>
                <w:tab w:val="left" w:pos="420"/>
                <w:tab w:val="left" w:pos="900"/>
              </w:tabs>
              <w:jc w:val="center"/>
              <w:rPr>
                <w:rFonts w:hint="eastAsia" w:ascii="宋体" w:hAnsi="宋体" w:eastAsia="宋体" w:cs="Arial"/>
                <w:b/>
                <w:bCs/>
                <w:color w:val="auto"/>
                <w:kern w:val="0"/>
                <w:sz w:val="24"/>
                <w:szCs w:val="24"/>
                <w:highlight w:val="none"/>
              </w:rPr>
            </w:pPr>
            <w:r>
              <w:rPr>
                <w:rFonts w:hint="eastAsia" w:ascii="宋体" w:hAnsi="宋体" w:eastAsia="宋体" w:cs="Arial"/>
                <w:b/>
                <w:bCs/>
                <w:color w:val="auto"/>
                <w:kern w:val="0"/>
                <w:sz w:val="24"/>
                <w:szCs w:val="24"/>
                <w:highlight w:val="none"/>
              </w:rPr>
              <w:t>序号</w:t>
            </w:r>
          </w:p>
        </w:tc>
        <w:tc>
          <w:tcPr>
            <w:tcW w:w="846" w:type="pct"/>
            <w:tcBorders>
              <w:top w:val="single" w:color="auto" w:sz="4" w:space="0"/>
              <w:left w:val="nil"/>
              <w:bottom w:val="single" w:color="auto" w:sz="4" w:space="0"/>
              <w:right w:val="single" w:color="auto" w:sz="4" w:space="0"/>
            </w:tcBorders>
            <w:shd w:val="clear" w:color="auto" w:fill="FFFFFF"/>
            <w:vAlign w:val="center"/>
          </w:tcPr>
          <w:p w14:paraId="616C9C58">
            <w:pPr>
              <w:widowControl/>
              <w:tabs>
                <w:tab w:val="left" w:pos="420"/>
                <w:tab w:val="left" w:pos="900"/>
              </w:tabs>
              <w:jc w:val="center"/>
              <w:rPr>
                <w:rFonts w:hint="eastAsia" w:ascii="宋体" w:hAnsi="宋体" w:eastAsia="宋体" w:cs="Arial"/>
                <w:b/>
                <w:bCs/>
                <w:color w:val="auto"/>
                <w:kern w:val="0"/>
                <w:sz w:val="24"/>
                <w:szCs w:val="24"/>
                <w:highlight w:val="none"/>
              </w:rPr>
            </w:pPr>
            <w:r>
              <w:rPr>
                <w:rFonts w:hint="eastAsia" w:ascii="宋体" w:hAnsi="宋体" w:eastAsia="宋体" w:cs="Arial"/>
                <w:b/>
                <w:bCs/>
                <w:color w:val="auto"/>
                <w:kern w:val="0"/>
                <w:sz w:val="24"/>
                <w:szCs w:val="24"/>
                <w:highlight w:val="none"/>
              </w:rPr>
              <w:t>货物名称</w:t>
            </w:r>
          </w:p>
        </w:tc>
        <w:tc>
          <w:tcPr>
            <w:tcW w:w="2277" w:type="pct"/>
            <w:tcBorders>
              <w:top w:val="single" w:color="auto" w:sz="4" w:space="0"/>
              <w:left w:val="nil"/>
              <w:bottom w:val="single" w:color="auto" w:sz="4" w:space="0"/>
              <w:right w:val="single" w:color="auto" w:sz="4" w:space="0"/>
            </w:tcBorders>
            <w:shd w:val="clear" w:color="auto" w:fill="FFFFFF"/>
            <w:vAlign w:val="center"/>
          </w:tcPr>
          <w:p w14:paraId="439D8436">
            <w:pPr>
              <w:widowControl/>
              <w:tabs>
                <w:tab w:val="left" w:pos="420"/>
                <w:tab w:val="left" w:pos="900"/>
              </w:tabs>
              <w:jc w:val="center"/>
              <w:rPr>
                <w:rFonts w:hint="eastAsia" w:ascii="宋体" w:hAnsi="宋体" w:eastAsia="宋体" w:cs="Arial"/>
                <w:b/>
                <w:bCs/>
                <w:color w:val="auto"/>
                <w:kern w:val="0"/>
                <w:sz w:val="24"/>
                <w:szCs w:val="24"/>
                <w:highlight w:val="none"/>
              </w:rPr>
            </w:pPr>
            <w:r>
              <w:rPr>
                <w:rFonts w:hint="eastAsia" w:ascii="宋体" w:hAnsi="宋体" w:eastAsia="宋体" w:cs="Arial"/>
                <w:b/>
                <w:bCs/>
                <w:color w:val="auto"/>
                <w:kern w:val="0"/>
                <w:sz w:val="24"/>
                <w:szCs w:val="24"/>
                <w:highlight w:val="none"/>
              </w:rPr>
              <w:t>技术参数及要求</w:t>
            </w:r>
          </w:p>
        </w:tc>
        <w:tc>
          <w:tcPr>
            <w:tcW w:w="454" w:type="pct"/>
            <w:tcBorders>
              <w:top w:val="single" w:color="auto" w:sz="4" w:space="0"/>
              <w:left w:val="nil"/>
              <w:bottom w:val="single" w:color="auto" w:sz="4" w:space="0"/>
              <w:right w:val="single" w:color="auto" w:sz="4" w:space="0"/>
            </w:tcBorders>
            <w:shd w:val="clear" w:color="auto" w:fill="FFFFFF"/>
            <w:vAlign w:val="center"/>
          </w:tcPr>
          <w:p w14:paraId="30B7D7CC">
            <w:pPr>
              <w:widowControl/>
              <w:tabs>
                <w:tab w:val="left" w:pos="420"/>
                <w:tab w:val="left" w:pos="900"/>
              </w:tabs>
              <w:jc w:val="center"/>
              <w:rPr>
                <w:rFonts w:hint="eastAsia" w:ascii="宋体" w:hAnsi="宋体" w:eastAsia="宋体" w:cs="Arial"/>
                <w:b/>
                <w:bCs/>
                <w:color w:val="auto"/>
                <w:kern w:val="0"/>
                <w:sz w:val="24"/>
                <w:szCs w:val="24"/>
                <w:highlight w:val="none"/>
              </w:rPr>
            </w:pPr>
            <w:r>
              <w:rPr>
                <w:rFonts w:hint="eastAsia" w:ascii="宋体" w:hAnsi="宋体" w:eastAsia="宋体" w:cs="Arial"/>
                <w:b/>
                <w:bCs/>
                <w:color w:val="auto"/>
                <w:kern w:val="0"/>
                <w:sz w:val="24"/>
                <w:szCs w:val="24"/>
                <w:highlight w:val="none"/>
              </w:rPr>
              <w:t>单位</w:t>
            </w:r>
          </w:p>
        </w:tc>
        <w:tc>
          <w:tcPr>
            <w:tcW w:w="454" w:type="pct"/>
            <w:tcBorders>
              <w:top w:val="single" w:color="auto" w:sz="4" w:space="0"/>
              <w:left w:val="nil"/>
              <w:bottom w:val="single" w:color="auto" w:sz="4" w:space="0"/>
              <w:right w:val="single" w:color="auto" w:sz="4" w:space="0"/>
            </w:tcBorders>
            <w:shd w:val="clear" w:color="auto" w:fill="FFFFFF"/>
            <w:vAlign w:val="center"/>
          </w:tcPr>
          <w:p w14:paraId="62843222">
            <w:pPr>
              <w:widowControl/>
              <w:tabs>
                <w:tab w:val="left" w:pos="420"/>
                <w:tab w:val="left" w:pos="900"/>
              </w:tabs>
              <w:jc w:val="center"/>
              <w:rPr>
                <w:rFonts w:hint="eastAsia" w:ascii="宋体" w:hAnsi="宋体" w:eastAsia="宋体" w:cs="Arial"/>
                <w:b/>
                <w:bCs/>
                <w:color w:val="auto"/>
                <w:kern w:val="0"/>
                <w:sz w:val="24"/>
                <w:szCs w:val="24"/>
                <w:highlight w:val="none"/>
              </w:rPr>
            </w:pPr>
            <w:r>
              <w:rPr>
                <w:rFonts w:hint="eastAsia" w:ascii="宋体" w:hAnsi="宋体" w:eastAsia="宋体" w:cs="Arial"/>
                <w:b/>
                <w:bCs/>
                <w:color w:val="auto"/>
                <w:kern w:val="0"/>
                <w:sz w:val="24"/>
                <w:szCs w:val="24"/>
                <w:highlight w:val="none"/>
              </w:rPr>
              <w:t>采购数量</w:t>
            </w:r>
          </w:p>
        </w:tc>
        <w:tc>
          <w:tcPr>
            <w:tcW w:w="618" w:type="pct"/>
            <w:tcBorders>
              <w:top w:val="single" w:color="auto" w:sz="4" w:space="0"/>
              <w:left w:val="nil"/>
              <w:bottom w:val="single" w:color="auto" w:sz="4" w:space="0"/>
              <w:right w:val="single" w:color="auto" w:sz="4" w:space="0"/>
            </w:tcBorders>
            <w:shd w:val="clear" w:color="auto" w:fill="FFFFFF"/>
            <w:vAlign w:val="center"/>
          </w:tcPr>
          <w:p w14:paraId="6D5723E3">
            <w:pPr>
              <w:widowControl/>
              <w:tabs>
                <w:tab w:val="left" w:pos="420"/>
                <w:tab w:val="left" w:pos="900"/>
              </w:tabs>
              <w:jc w:val="center"/>
              <w:rPr>
                <w:rFonts w:hint="eastAsia" w:ascii="宋体" w:hAnsi="宋体" w:eastAsia="宋体" w:cs="Arial"/>
                <w:b/>
                <w:bCs/>
                <w:color w:val="auto"/>
                <w:kern w:val="0"/>
                <w:sz w:val="24"/>
                <w:szCs w:val="24"/>
                <w:highlight w:val="none"/>
              </w:rPr>
            </w:pPr>
            <w:r>
              <w:rPr>
                <w:rFonts w:hint="eastAsia" w:ascii="宋体" w:hAnsi="宋体" w:eastAsia="宋体" w:cs="Arial"/>
                <w:b/>
                <w:bCs/>
                <w:color w:val="auto"/>
                <w:kern w:val="0"/>
                <w:sz w:val="24"/>
                <w:szCs w:val="24"/>
                <w:highlight w:val="none"/>
              </w:rPr>
              <w:t>是否为核心产品</w:t>
            </w:r>
          </w:p>
        </w:tc>
      </w:tr>
      <w:tr w14:paraId="30F68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9" w:type="pct"/>
            <w:tcBorders>
              <w:top w:val="single" w:color="auto" w:sz="4" w:space="0"/>
              <w:left w:val="single" w:color="auto" w:sz="4" w:space="0"/>
              <w:bottom w:val="single" w:color="auto" w:sz="4" w:space="0"/>
              <w:right w:val="single" w:color="auto" w:sz="4" w:space="0"/>
            </w:tcBorders>
            <w:shd w:val="clear" w:color="auto" w:fill="FFFFFF"/>
            <w:vAlign w:val="center"/>
          </w:tcPr>
          <w:p w14:paraId="55D22DE7">
            <w:pPr>
              <w:widowControl/>
              <w:tabs>
                <w:tab w:val="left" w:pos="420"/>
                <w:tab w:val="left" w:pos="900"/>
              </w:tabs>
              <w:jc w:val="center"/>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w:t>
            </w:r>
          </w:p>
        </w:tc>
        <w:tc>
          <w:tcPr>
            <w:tcW w:w="846" w:type="pct"/>
            <w:tcBorders>
              <w:top w:val="single" w:color="auto" w:sz="4" w:space="0"/>
              <w:left w:val="nil"/>
              <w:bottom w:val="single" w:color="auto" w:sz="4" w:space="0"/>
              <w:right w:val="single" w:color="auto" w:sz="4" w:space="0"/>
            </w:tcBorders>
            <w:shd w:val="clear" w:color="auto" w:fill="FFFFFF"/>
            <w:vAlign w:val="center"/>
          </w:tcPr>
          <w:p w14:paraId="2938F30C">
            <w:pPr>
              <w:widowControl/>
              <w:tabs>
                <w:tab w:val="left" w:pos="900"/>
              </w:tabs>
              <w:jc w:val="center"/>
              <w:textAlignment w:val="center"/>
              <w:rPr>
                <w:rFonts w:hint="default" w:ascii="宋体" w:hAnsi="宋体" w:eastAsia="宋体" w:cs="Arial"/>
                <w:color w:val="auto"/>
                <w:kern w:val="0"/>
                <w:sz w:val="24"/>
                <w:szCs w:val="24"/>
                <w:highlight w:val="none"/>
                <w:lang w:val="en-US" w:eastAsia="zh-CN"/>
              </w:rPr>
            </w:pPr>
            <w:r>
              <w:rPr>
                <w:rFonts w:hint="eastAsia" w:ascii="宋体" w:hAnsi="宋体" w:eastAsia="宋体" w:cs="Arial"/>
                <w:color w:val="auto"/>
                <w:kern w:val="0"/>
                <w:sz w:val="24"/>
                <w:szCs w:val="24"/>
                <w:highlight w:val="none"/>
                <w:lang w:val="en-US" w:eastAsia="zh-CN"/>
              </w:rPr>
              <w:t>彩超（便携）</w:t>
            </w:r>
          </w:p>
        </w:tc>
        <w:tc>
          <w:tcPr>
            <w:tcW w:w="2277" w:type="pct"/>
            <w:tcBorders>
              <w:top w:val="single" w:color="auto" w:sz="4" w:space="0"/>
              <w:left w:val="nil"/>
              <w:bottom w:val="single" w:color="auto" w:sz="4" w:space="0"/>
              <w:right w:val="single" w:color="auto" w:sz="4" w:space="0"/>
            </w:tcBorders>
            <w:shd w:val="clear" w:color="auto" w:fill="FFFFFF"/>
            <w:vAlign w:val="center"/>
          </w:tcPr>
          <w:p w14:paraId="00C1BF8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一、设备名称及用途：高集成彩色多普勒超声诊断系统（便携），用于全身各器官超声诊断和相关科研，包括成人心脏、儿童心脏、胎儿心脏、腹部、妇产、泌尿、小儿、血管（外周、颅脑、腹部）、小器官、骨骼肌肉、神经、眼科、术中以及经食管超声心动图等。</w:t>
            </w:r>
          </w:p>
          <w:p w14:paraId="49EF3AB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二、技术要求：</w:t>
            </w:r>
          </w:p>
          <w:p w14:paraId="596EA03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1.主机系统性能概括</w:t>
            </w:r>
          </w:p>
          <w:p w14:paraId="6C5D1B9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 高分辨率液晶显示器≥15英寸, 分辨率≥1920×1080</w:t>
            </w:r>
          </w:p>
          <w:p w14:paraId="6D37110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▲1.2 具备液晶触摸屏≥10英寸,可通过手指滑动触摸屏进行翻页，可俯仰调节角度≥60°</w:t>
            </w:r>
          </w:p>
          <w:p w14:paraId="5339B61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1.3 具备“自定义”功能的触控板</w:t>
            </w:r>
          </w:p>
          <w:p w14:paraId="3DC512A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 xml:space="preserve">▲1.5 TGC≥8段，可触摸屏及控制面板调节 </w:t>
            </w:r>
          </w:p>
          <w:p w14:paraId="77CF711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1.6 LGC≥8段，可触摸屏调节</w:t>
            </w:r>
          </w:p>
          <w:p w14:paraId="3B13BFE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1.7 最大显示成像模式，一键全屏显示高清图像</w:t>
            </w:r>
          </w:p>
          <w:p w14:paraId="1C2F35F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2.系统成像技术</w:t>
            </w:r>
          </w:p>
          <w:p w14:paraId="440419A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 二维灰阶成像（部件）单元</w:t>
            </w:r>
          </w:p>
          <w:p w14:paraId="7C05BB6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 空间复合成像技术，实时声束偏转技术</w:t>
            </w:r>
          </w:p>
          <w:p w14:paraId="5A89F04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2.1.2 磁共振相素优化技术，高清斑点噪声抑制</w:t>
            </w:r>
          </w:p>
          <w:p w14:paraId="7404FEF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2.1.3 实时自动持续优化</w:t>
            </w:r>
          </w:p>
          <w:p w14:paraId="465E3B0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▲2.1.4 高帧频实时解剖M型，360°范围内可平移可旋转</w:t>
            </w:r>
          </w:p>
          <w:p w14:paraId="03371CB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2.1.5 双屏同步实时显示，支持二维及彩色血流图像</w:t>
            </w:r>
          </w:p>
          <w:p w14:paraId="78655BE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2.1.6 实时和非实时高分辨率放大</w:t>
            </w:r>
          </w:p>
          <w:p w14:paraId="2978F7B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2.1.7 支持扩展成像（线阵和凸阵）</w:t>
            </w:r>
          </w:p>
          <w:p w14:paraId="4169D62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2.1.8 具有穿刺针增强技术</w:t>
            </w:r>
          </w:p>
          <w:p w14:paraId="17F37B2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2.2 频谱多普勒显示及分析系统</w:t>
            </w:r>
          </w:p>
          <w:p w14:paraId="4EA36F3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 xml:space="preserve">2.2.1 智能多普勒技术自动调节声束角度 </w:t>
            </w:r>
          </w:p>
          <w:p w14:paraId="12F7548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2.2.2 实时自动多普勒分析 ，支持心脏探头</w:t>
            </w:r>
          </w:p>
          <w:p w14:paraId="0753FCF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2.2.3 智能优化技术自动优化Doppler频谱</w:t>
            </w:r>
          </w:p>
          <w:p w14:paraId="2416A7D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2.3 彩色血流成像（部件）单元</w:t>
            </w:r>
          </w:p>
          <w:p w14:paraId="5350BD9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2.3.1 超宽频带血流技术</w:t>
            </w:r>
          </w:p>
          <w:p w14:paraId="7723BA8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2.3.2 自适应彩色多普勒技术</w:t>
            </w:r>
          </w:p>
          <w:p w14:paraId="7CEA7FD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2.3.3 智能优化技术自动优化彩色血流，单键自动调整取样框角度、位置。</w:t>
            </w:r>
          </w:p>
          <w:p w14:paraId="08B4A2B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2.3.4 实时双幅对比成像</w:t>
            </w:r>
          </w:p>
          <w:p w14:paraId="28A3A0C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2.3.5 实时彩色血流M型</w:t>
            </w:r>
          </w:p>
          <w:p w14:paraId="705F302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2.3.6 彩色能量成像</w:t>
            </w:r>
          </w:p>
          <w:p w14:paraId="2A755A1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2.4 组织多普勒成像</w:t>
            </w:r>
          </w:p>
          <w:p w14:paraId="51692F5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2.5 二次谐波成像（自然组织谐波成像）</w:t>
            </w:r>
          </w:p>
          <w:p w14:paraId="12C84C8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3.先进成像技术</w:t>
            </w:r>
          </w:p>
          <w:p w14:paraId="25AAA24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3.1 微视血流成像</w:t>
            </w:r>
          </w:p>
          <w:p w14:paraId="0CFFF8E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3.2 应变弹性成像，支持线阵探头和腔内探头</w:t>
            </w:r>
          </w:p>
          <w:p w14:paraId="0721A65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3.3 造影成像</w:t>
            </w:r>
          </w:p>
          <w:p w14:paraId="795797D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3.3.1 具备感兴趣区造影定量分析软件</w:t>
            </w:r>
          </w:p>
          <w:p w14:paraId="0828302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3.3.2 具备微血管造影成像功能</w:t>
            </w:r>
          </w:p>
          <w:p w14:paraId="38C1113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3.4 左心室造影和低机械指数造影成像</w:t>
            </w:r>
          </w:p>
          <w:p w14:paraId="32B77B8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3.5 多平面重建成像</w:t>
            </w:r>
          </w:p>
          <w:p w14:paraId="2161338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3.6 时间-空间关联成像</w:t>
            </w:r>
          </w:p>
          <w:p w14:paraId="6D10BA2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▲3.7 穿刺引导功能：支持相控阵、凸阵、微凸阵、线阵探头穿刺引导功能；凸阵探头穿刺引导角度≥5个；线阵探头穿刺引导角度≥3个。</w:t>
            </w:r>
          </w:p>
          <w:p w14:paraId="67333B7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4.测量和分析 (B型、M型、频谱多普勒、彩色多普勒、容积模式)</w:t>
            </w:r>
          </w:p>
          <w:p w14:paraId="43E6012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4.1 一般测量:距离(直线/曲线)、面积、周长(连续描记/点描记) 、角度、体积等；</w:t>
            </w:r>
          </w:p>
          <w:p w14:paraId="08BFDA7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4.2 多普勒血流测量及分析(含自动多普勒频谱包络计算);</w:t>
            </w:r>
          </w:p>
          <w:p w14:paraId="7E450D4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4.3 产科测量: 包括全面的产科径线测量、NT测量、单/多胎儿孕龄及生长曲线、羊水指数、胎儿心脏功能测量等；</w:t>
            </w:r>
          </w:p>
          <w:p w14:paraId="2C1CEF0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4.4 外周血管测量</w:t>
            </w:r>
          </w:p>
          <w:p w14:paraId="749720E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4.5 心脏功能测量与分析</w:t>
            </w:r>
          </w:p>
          <w:p w14:paraId="79FA944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▲4.6 自动、实时Doppler 频谱波形分析，实时和冻结状态下都可以进行分析</w:t>
            </w:r>
          </w:p>
          <w:p w14:paraId="7B57F34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 xml:space="preserve">▲4.7 自动二维心功能定量 </w:t>
            </w:r>
          </w:p>
          <w:p w14:paraId="0ADB4D8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▲4.7.1 自动组织瓣环位移功能可自动对房室瓣环运动进行可视化定量分析，快速评估心脏整体功能</w:t>
            </w:r>
          </w:p>
          <w:p w14:paraId="232321C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 xml:space="preserve">4.8 心脏自动应变定量 </w:t>
            </w:r>
          </w:p>
          <w:p w14:paraId="2339943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4.8.1 连接和未连接心电信号的超声图像均可在机分析</w:t>
            </w:r>
          </w:p>
          <w:p w14:paraId="136CB01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▲4.8.2 全自动识别左心室切面并追踪，快速获得左心室整体应变值、左心室长径值、左心室18节段应变牛眼图和达峰时间牛眼图</w:t>
            </w:r>
          </w:p>
          <w:p w14:paraId="5D497BD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5.图像存储与（电影）回放重显单元</w:t>
            </w:r>
          </w:p>
          <w:p w14:paraId="3D08B54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6.参考信号：心电图和生理信号</w:t>
            </w:r>
          </w:p>
          <w:p w14:paraId="6BF76C0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7.DICOM 3.0版接口部件，包括有线和无线传输，打印，检索和通用格式</w:t>
            </w:r>
          </w:p>
          <w:p w14:paraId="09F4FC6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8.记录装置：</w:t>
            </w:r>
          </w:p>
          <w:p w14:paraId="0BBB43B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8.1 硬盘存储≥500GB</w:t>
            </w:r>
          </w:p>
          <w:p w14:paraId="008273D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8.2 支持USB接口闪存</w:t>
            </w:r>
          </w:p>
          <w:p w14:paraId="08261C4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三、其他</w:t>
            </w:r>
          </w:p>
          <w:p w14:paraId="63EE8A1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1.系统通用功能</w:t>
            </w:r>
          </w:p>
          <w:p w14:paraId="7433324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 监视器：≥15”高分辨率彩色超薄液晶监视器，亮度可调</w:t>
            </w:r>
          </w:p>
          <w:p w14:paraId="2C9DF8C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 xml:space="preserve">▲1.2 触摸屏：≥10”触摸屏，且可调节俯仰角度0°-60° </w:t>
            </w:r>
          </w:p>
          <w:p w14:paraId="16A7FFE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2.标配3把探头：</w:t>
            </w:r>
          </w:p>
          <w:p w14:paraId="525E2E1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▲2.1：相控阵探头：超声频率1-5MHz；凸阵探头：超声频率1-5MHz；线阵探头：超声频率5-12MHz。</w:t>
            </w:r>
          </w:p>
          <w:p w14:paraId="0D51068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val="en-US" w:eastAsia="zh-CN"/>
              </w:rPr>
              <w:t>2.2</w:t>
            </w:r>
            <w:r>
              <w:rPr>
                <w:rFonts w:hint="eastAsia" w:ascii="宋体" w:hAnsi="宋体" w:eastAsia="宋体" w:cs="Arial"/>
                <w:color w:val="auto"/>
                <w:kern w:val="0"/>
                <w:sz w:val="24"/>
                <w:szCs w:val="24"/>
                <w:highlight w:val="none"/>
              </w:rPr>
              <w:t>扫描速率：相控阵，全视野，17cm深度时，帧速率≥60帧/秒</w:t>
            </w:r>
          </w:p>
          <w:p w14:paraId="3719E45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w:t>
            </w:r>
            <w:r>
              <w:rPr>
                <w:rFonts w:hint="eastAsia" w:ascii="宋体" w:hAnsi="宋体" w:eastAsia="宋体" w:cs="Arial"/>
                <w:color w:val="auto"/>
                <w:kern w:val="0"/>
                <w:sz w:val="24"/>
                <w:szCs w:val="24"/>
                <w:highlight w:val="none"/>
                <w:lang w:val="en-US" w:eastAsia="zh-CN"/>
              </w:rPr>
              <w:t>2.3</w:t>
            </w:r>
            <w:r>
              <w:rPr>
                <w:rFonts w:hint="eastAsia" w:ascii="宋体" w:hAnsi="宋体" w:eastAsia="宋体" w:cs="Arial"/>
                <w:color w:val="auto"/>
                <w:kern w:val="0"/>
                <w:sz w:val="24"/>
                <w:szCs w:val="24"/>
                <w:highlight w:val="none"/>
              </w:rPr>
              <w:t xml:space="preserve">扫描深度：≥40cm </w:t>
            </w:r>
          </w:p>
          <w:p w14:paraId="4296066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val="en-US" w:eastAsia="zh-CN"/>
              </w:rPr>
              <w:t>3.4</w:t>
            </w:r>
            <w:r>
              <w:rPr>
                <w:rFonts w:hint="eastAsia" w:ascii="宋体" w:hAnsi="宋体" w:eastAsia="宋体" w:cs="Arial"/>
                <w:color w:val="auto"/>
                <w:kern w:val="0"/>
                <w:sz w:val="24"/>
                <w:szCs w:val="24"/>
                <w:highlight w:val="none"/>
              </w:rPr>
              <w:t>增益调节：B/D可独立调节，TGC分段≥8，LGC分段≥8</w:t>
            </w:r>
          </w:p>
          <w:p w14:paraId="5FF4B62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val="en-US" w:eastAsia="zh-CN"/>
              </w:rPr>
              <w:t>4.</w:t>
            </w:r>
            <w:r>
              <w:rPr>
                <w:rFonts w:hint="eastAsia" w:ascii="宋体" w:hAnsi="宋体" w:eastAsia="宋体" w:cs="Arial"/>
                <w:color w:val="auto"/>
                <w:kern w:val="0"/>
                <w:sz w:val="24"/>
                <w:szCs w:val="24"/>
                <w:highlight w:val="none"/>
              </w:rPr>
              <w:t>频谱多普勒</w:t>
            </w:r>
          </w:p>
          <w:p w14:paraId="034616D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val="en-US" w:eastAsia="zh-CN"/>
              </w:rPr>
              <w:t>4</w:t>
            </w:r>
            <w:r>
              <w:rPr>
                <w:rFonts w:hint="eastAsia" w:ascii="宋体" w:hAnsi="宋体" w:eastAsia="宋体" w:cs="Arial"/>
                <w:color w:val="auto"/>
                <w:kern w:val="0"/>
                <w:sz w:val="24"/>
                <w:szCs w:val="24"/>
                <w:highlight w:val="none"/>
              </w:rPr>
              <w:t>.1 方式：脉冲波多普勒PW，连续波多普勒CW，HPRF高脉冲重复频率多普勒</w:t>
            </w:r>
          </w:p>
          <w:p w14:paraId="2D4BEEF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val="en-US" w:eastAsia="zh-CN"/>
              </w:rPr>
              <w:t>4</w:t>
            </w:r>
            <w:r>
              <w:rPr>
                <w:rFonts w:hint="eastAsia" w:ascii="宋体" w:hAnsi="宋体" w:eastAsia="宋体" w:cs="Arial"/>
                <w:color w:val="auto"/>
                <w:kern w:val="0"/>
                <w:sz w:val="24"/>
                <w:szCs w:val="24"/>
                <w:highlight w:val="none"/>
              </w:rPr>
              <w:t>.2 多普勒探头与频率：电子扇形PW，CW</w:t>
            </w:r>
          </w:p>
          <w:p w14:paraId="75CE225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val="en-US" w:eastAsia="zh-CN"/>
              </w:rPr>
              <w:t>4</w:t>
            </w:r>
            <w:r>
              <w:rPr>
                <w:rFonts w:hint="eastAsia" w:ascii="宋体" w:hAnsi="宋体" w:eastAsia="宋体" w:cs="Arial"/>
                <w:color w:val="auto"/>
                <w:kern w:val="0"/>
                <w:sz w:val="24"/>
                <w:szCs w:val="24"/>
                <w:highlight w:val="none"/>
              </w:rPr>
              <w:t>.3 显示方式：B/D，M/D，D</w:t>
            </w:r>
          </w:p>
          <w:p w14:paraId="2BEC34F7">
            <w:pPr>
              <w:widowControl/>
              <w:tabs>
                <w:tab w:val="left" w:pos="420"/>
                <w:tab w:val="left" w:pos="900"/>
              </w:tabs>
              <w:rPr>
                <w:rFonts w:hint="default" w:eastAsia="宋体"/>
                <w:color w:val="auto"/>
                <w:highlight w:val="none"/>
                <w:lang w:val="en-US" w:eastAsia="zh-CN"/>
              </w:rPr>
            </w:pPr>
            <w:r>
              <w:rPr>
                <w:rFonts w:hint="eastAsia" w:ascii="宋体" w:hAnsi="宋体" w:eastAsia="宋体" w:cs="Arial"/>
                <w:color w:val="auto"/>
                <w:kern w:val="0"/>
                <w:sz w:val="24"/>
                <w:szCs w:val="24"/>
                <w:highlight w:val="none"/>
                <w:lang w:val="en-US" w:eastAsia="zh-CN"/>
              </w:rPr>
              <w:t>5.配套设施设备：空气消毒机1台</w:t>
            </w:r>
          </w:p>
        </w:tc>
        <w:tc>
          <w:tcPr>
            <w:tcW w:w="454" w:type="pct"/>
            <w:tcBorders>
              <w:top w:val="single" w:color="auto" w:sz="4" w:space="0"/>
              <w:left w:val="nil"/>
              <w:bottom w:val="single" w:color="auto" w:sz="4" w:space="0"/>
              <w:right w:val="single" w:color="auto" w:sz="4" w:space="0"/>
            </w:tcBorders>
            <w:shd w:val="clear" w:color="auto" w:fill="FFFFFF"/>
            <w:vAlign w:val="center"/>
          </w:tcPr>
          <w:p w14:paraId="02C277AA">
            <w:pPr>
              <w:widowControl/>
              <w:tabs>
                <w:tab w:val="left" w:pos="900"/>
              </w:tabs>
              <w:jc w:val="center"/>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套</w:t>
            </w:r>
          </w:p>
        </w:tc>
        <w:tc>
          <w:tcPr>
            <w:tcW w:w="454" w:type="pct"/>
            <w:tcBorders>
              <w:top w:val="single" w:color="auto" w:sz="4" w:space="0"/>
              <w:left w:val="nil"/>
              <w:bottom w:val="single" w:color="auto" w:sz="4" w:space="0"/>
              <w:right w:val="single" w:color="auto" w:sz="4" w:space="0"/>
            </w:tcBorders>
            <w:shd w:val="clear" w:color="auto" w:fill="FFFFFF"/>
            <w:vAlign w:val="center"/>
          </w:tcPr>
          <w:p w14:paraId="1D7988B7">
            <w:pPr>
              <w:widowControl/>
              <w:tabs>
                <w:tab w:val="left" w:pos="900"/>
              </w:tabs>
              <w:jc w:val="center"/>
              <w:textAlignment w:val="center"/>
              <w:rPr>
                <w:rFonts w:hint="eastAsia" w:ascii="宋体" w:hAnsi="宋体" w:eastAsia="宋体" w:cs="Arial"/>
                <w:color w:val="auto"/>
                <w:kern w:val="0"/>
                <w:sz w:val="24"/>
                <w:szCs w:val="24"/>
                <w:highlight w:val="none"/>
                <w:lang w:eastAsia="zh-CN"/>
              </w:rPr>
            </w:pPr>
            <w:r>
              <w:rPr>
                <w:rFonts w:hint="eastAsia" w:ascii="宋体" w:hAnsi="宋体" w:eastAsia="宋体" w:cs="Arial"/>
                <w:color w:val="auto"/>
                <w:kern w:val="0"/>
                <w:sz w:val="24"/>
                <w:szCs w:val="24"/>
                <w:highlight w:val="none"/>
                <w:lang w:val="en-US" w:eastAsia="zh-CN"/>
              </w:rPr>
              <w:t>1</w:t>
            </w:r>
          </w:p>
        </w:tc>
        <w:tc>
          <w:tcPr>
            <w:tcW w:w="618" w:type="pct"/>
            <w:tcBorders>
              <w:top w:val="single" w:color="auto" w:sz="4" w:space="0"/>
              <w:left w:val="nil"/>
              <w:bottom w:val="single" w:color="auto" w:sz="4" w:space="0"/>
              <w:right w:val="single" w:color="auto" w:sz="4" w:space="0"/>
            </w:tcBorders>
            <w:vAlign w:val="center"/>
          </w:tcPr>
          <w:p w14:paraId="67C03667">
            <w:pPr>
              <w:widowControl/>
              <w:jc w:val="center"/>
              <w:rPr>
                <w:rFonts w:hint="default" w:ascii="宋体" w:hAnsi="宋体" w:eastAsia="宋体" w:cs="Arial"/>
                <w:color w:val="auto"/>
                <w:kern w:val="0"/>
                <w:sz w:val="24"/>
                <w:szCs w:val="24"/>
                <w:highlight w:val="none"/>
                <w:lang w:val="en-US" w:eastAsia="zh-CN"/>
              </w:rPr>
            </w:pPr>
            <w:r>
              <w:rPr>
                <w:rFonts w:hint="eastAsia" w:ascii="宋体" w:hAnsi="宋体" w:eastAsia="宋体" w:cs="Arial"/>
                <w:color w:val="auto"/>
                <w:kern w:val="0"/>
                <w:sz w:val="24"/>
                <w:szCs w:val="24"/>
                <w:highlight w:val="none"/>
                <w:lang w:val="en-US" w:eastAsia="zh-CN"/>
              </w:rPr>
              <w:t>否</w:t>
            </w:r>
          </w:p>
        </w:tc>
      </w:tr>
      <w:tr w14:paraId="462EA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9" w:type="pct"/>
            <w:tcBorders>
              <w:top w:val="single" w:color="auto" w:sz="4" w:space="0"/>
              <w:left w:val="single" w:color="auto" w:sz="4" w:space="0"/>
              <w:bottom w:val="single" w:color="auto" w:sz="4" w:space="0"/>
              <w:right w:val="single" w:color="auto" w:sz="4" w:space="0"/>
            </w:tcBorders>
            <w:shd w:val="clear" w:color="auto" w:fill="FFFFFF"/>
            <w:vAlign w:val="center"/>
          </w:tcPr>
          <w:p w14:paraId="454BB19D">
            <w:pPr>
              <w:widowControl/>
              <w:tabs>
                <w:tab w:val="left" w:pos="420"/>
                <w:tab w:val="left" w:pos="900"/>
              </w:tabs>
              <w:jc w:val="center"/>
              <w:rPr>
                <w:rFonts w:hint="eastAsia" w:ascii="宋体" w:hAnsi="宋体" w:eastAsia="宋体" w:cs="Arial"/>
                <w:color w:val="auto"/>
                <w:kern w:val="0"/>
                <w:sz w:val="24"/>
                <w:szCs w:val="24"/>
                <w:highlight w:val="none"/>
                <w:lang w:val="en-US" w:eastAsia="zh-CN"/>
              </w:rPr>
            </w:pPr>
            <w:r>
              <w:rPr>
                <w:rFonts w:hint="eastAsia" w:ascii="宋体" w:hAnsi="宋体" w:eastAsia="宋体" w:cs="Arial"/>
                <w:color w:val="auto"/>
                <w:kern w:val="0"/>
                <w:sz w:val="24"/>
                <w:szCs w:val="24"/>
                <w:highlight w:val="none"/>
                <w:lang w:val="en-US" w:eastAsia="zh-CN"/>
              </w:rPr>
              <w:t>2</w:t>
            </w:r>
          </w:p>
        </w:tc>
        <w:tc>
          <w:tcPr>
            <w:tcW w:w="846" w:type="pct"/>
            <w:tcBorders>
              <w:top w:val="single" w:color="auto" w:sz="4" w:space="0"/>
              <w:left w:val="nil"/>
              <w:bottom w:val="single" w:color="auto" w:sz="4" w:space="0"/>
              <w:right w:val="single" w:color="auto" w:sz="4" w:space="0"/>
            </w:tcBorders>
            <w:shd w:val="clear" w:color="auto" w:fill="FFFFFF"/>
            <w:vAlign w:val="center"/>
          </w:tcPr>
          <w:p w14:paraId="6EBC836C">
            <w:pPr>
              <w:widowControl/>
              <w:tabs>
                <w:tab w:val="left" w:pos="900"/>
              </w:tabs>
              <w:jc w:val="center"/>
              <w:textAlignment w:val="center"/>
              <w:rPr>
                <w:rFonts w:hint="eastAsia" w:ascii="宋体" w:hAnsi="宋体" w:eastAsia="宋体" w:cs="Arial"/>
                <w:color w:val="auto"/>
                <w:kern w:val="0"/>
                <w:sz w:val="24"/>
                <w:szCs w:val="24"/>
                <w:highlight w:val="none"/>
                <w:lang w:val="en-US" w:eastAsia="zh-CN"/>
              </w:rPr>
            </w:pPr>
            <w:r>
              <w:rPr>
                <w:rFonts w:hint="eastAsia" w:ascii="宋体" w:hAnsi="宋体" w:eastAsia="宋体" w:cs="Arial"/>
                <w:color w:val="auto"/>
                <w:kern w:val="0"/>
                <w:sz w:val="24"/>
                <w:szCs w:val="24"/>
                <w:highlight w:val="none"/>
                <w:lang w:val="en-US" w:eastAsia="zh-CN"/>
              </w:rPr>
              <w:t>彩超（心脏及血管）</w:t>
            </w:r>
          </w:p>
        </w:tc>
        <w:tc>
          <w:tcPr>
            <w:tcW w:w="2277" w:type="pct"/>
            <w:tcBorders>
              <w:top w:val="single" w:color="auto" w:sz="4" w:space="0"/>
              <w:left w:val="nil"/>
              <w:bottom w:val="single" w:color="auto" w:sz="4" w:space="0"/>
              <w:right w:val="single" w:color="auto" w:sz="4" w:space="0"/>
            </w:tcBorders>
            <w:shd w:val="clear" w:color="auto" w:fill="FFFFFF"/>
            <w:vAlign w:val="center"/>
          </w:tcPr>
          <w:p w14:paraId="7CCDA4D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一、主要用于腹部、胎儿心脏、成人心脏、经食道心脏、新生儿、小儿、血管（外周、颅脑、腹部）、小器官、骨骼肌肉、神经、术中，造影、介入等方面的临床诊断和科研教学工作，能满足开展新的临床应用需求</w:t>
            </w:r>
          </w:p>
          <w:p w14:paraId="10C7F62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二、技术要求：</w:t>
            </w:r>
          </w:p>
          <w:p w14:paraId="0B66E80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 主机成像系统：</w:t>
            </w:r>
          </w:p>
          <w:p w14:paraId="6EB2EA1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1.1.1   高分辨率液晶显示器≥23英寸分辨率≥1920×1080,无闪烁，不间断逐行扫描，可上下左右任意旋转，可前后折叠</w:t>
            </w:r>
          </w:p>
          <w:p w14:paraId="02EE2B3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1.1.2  操作面板具备液晶触摸屏≥12英寸,可通过手指滑动触摸屏进行翻页，直接点击触摸屏即可选择需要调节的参数，操作面板可上下左右进行高度调整及旋转</w:t>
            </w:r>
          </w:p>
          <w:p w14:paraId="1FF008A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1.1.3  全新集束精准发射技术</w:t>
            </w:r>
          </w:p>
          <w:p w14:paraId="7EF50C3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1.1.4  脉冲优化处理技术</w:t>
            </w:r>
          </w:p>
          <w:p w14:paraId="5B94599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1.1.5  海量并行处理技术</w:t>
            </w:r>
          </w:p>
          <w:p w14:paraId="22F32CF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1.1.6  自适应增益补偿技术</w:t>
            </w:r>
          </w:p>
          <w:p w14:paraId="0585CF7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1.1.7 数字化二维灰阶成像及M型显像单元</w:t>
            </w:r>
          </w:p>
          <w:p w14:paraId="6466915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1.1.8  解剖M型技术,可360度任意旋转M型取样线角度方便准确的进行测量</w:t>
            </w:r>
          </w:p>
          <w:p w14:paraId="4CEA005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 xml:space="preserve"> 1.1.9 脉冲反向谐波成像单元</w:t>
            </w:r>
          </w:p>
          <w:p w14:paraId="4DDF221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1.1.10 彩色多普勒成像技术</w:t>
            </w:r>
          </w:p>
          <w:p w14:paraId="3A0ABC0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1.1.11 彩色多普勒能量图技术</w:t>
            </w:r>
          </w:p>
          <w:p w14:paraId="7C1E267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1.1.12  方向性能量图技术</w:t>
            </w:r>
          </w:p>
          <w:p w14:paraId="5D4979D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1.1.13 数字化频谱多普勒显示和分析单元 (包括 PW 、CW和 HPRF)</w:t>
            </w:r>
          </w:p>
          <w:p w14:paraId="5A921FB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1.1.14  动态范围≥320dB</w:t>
            </w:r>
          </w:p>
          <w:p w14:paraId="0A74830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1.1.16 智能全程聚焦技术</w:t>
            </w:r>
          </w:p>
          <w:p w14:paraId="1CE6D61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1.1.17 智能化一键图像优化技术；可自适应调整图像的增益等参数获取最佳图像</w:t>
            </w:r>
          </w:p>
          <w:p w14:paraId="4042929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1.1.18 空间复合成像技术，同时作用于发射和接收（作曲别针试验），支持所有凸阵、微凸阵和线阵成像探头</w:t>
            </w:r>
          </w:p>
          <w:p w14:paraId="4A1DCA8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1.1.19 自适应核磁像素优化技术，改善边界显示，提高分辨率，减少伪像，支持所有成像探头，可分级调节≥5级</w:t>
            </w:r>
          </w:p>
          <w:p w14:paraId="1024BCC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1.1.20  内置 DICOM 3.0 标准输出接口</w:t>
            </w:r>
          </w:p>
          <w:p w14:paraId="4C79C1C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1.2 先进成像技术</w:t>
            </w:r>
          </w:p>
          <w:p w14:paraId="2620897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1.2.1   具备全屏高清放大功能，放大后图像显示区域尺寸≥23英寸，分辨率≥1920×1080。</w:t>
            </w:r>
          </w:p>
          <w:p w14:paraId="4EA1556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1.2.2  超宽视野成像扫描技术</w:t>
            </w:r>
          </w:p>
          <w:p w14:paraId="5138F1F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   测量功能,电影回放功能</w:t>
            </w:r>
          </w:p>
          <w:p w14:paraId="2BB8AEC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   具备线阵、凸阵及容积探头</w:t>
            </w:r>
          </w:p>
          <w:p w14:paraId="684161D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   结合成像技术如复合成像技术结合使用</w:t>
            </w:r>
          </w:p>
          <w:p w14:paraId="60F76B4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1.2.3  超声声速自动校正技术</w:t>
            </w:r>
          </w:p>
          <w:p w14:paraId="2D6B7C9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   针对肥胖及困难病人</w:t>
            </w:r>
          </w:p>
          <w:p w14:paraId="1BFF789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   可用于乳腺检查，并可调整级别</w:t>
            </w:r>
          </w:p>
          <w:p w14:paraId="655DD94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   专门的预置条件</w:t>
            </w:r>
          </w:p>
          <w:p w14:paraId="316A9E2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1.2.4  扩展成像技术：凸阵、微凸阵、线阵探头均具有此功能，且空间复合成像技术及斑点噪声抑制技术支持其扩展区域</w:t>
            </w:r>
          </w:p>
          <w:p w14:paraId="39E8AD8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1.2.5  组织多普勒技术，具有彩色，谐波，PW， M型多种模式，并有在机应变及应变率定量分析工具</w:t>
            </w:r>
          </w:p>
          <w:p w14:paraId="18B7F68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▲1.2.6  多影像实时对比联合诊断技术：主机可直接获取和浏览CT、NM以及MR，超声的DICOM图像，同屏对比既往和目前的超声图像，回顾实时的、存储的、输出的图像进行对比诊断</w:t>
            </w:r>
          </w:p>
          <w:p w14:paraId="2FD25BD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1.2.7  术者模式，可实时双屏显示，主屏幕与触摸屏实时同步显示扫描图像</w:t>
            </w:r>
          </w:p>
          <w:p w14:paraId="7DAC7C1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1.2.8  造影成像技术</w:t>
            </w:r>
          </w:p>
          <w:p w14:paraId="7E699D4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   高帧频造影模式：凸阵造影帧频≥50帧/秒；线阵造影帧频≥90帧/秒</w:t>
            </w:r>
          </w:p>
          <w:p w14:paraId="031A4CF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   造影剂二次谐波成像单元,包含低MI实时灌注成像、中MI造影成像和高MI造影成像，采用脉冲反相谐波技术、能量调制技术以及多脉冲序列谐波造影技术</w:t>
            </w:r>
          </w:p>
          <w:p w14:paraId="3E5736A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   可与复合成像技术、核磁像素优化技术结合使用</w:t>
            </w:r>
          </w:p>
          <w:p w14:paraId="3147C51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   具有实时双幅造影对比成像模式，并可进行双幅实时同步测量</w:t>
            </w:r>
          </w:p>
          <w:p w14:paraId="0363B11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   造影技术支持凸阵，线阵，腔内探头，相控阵，微凸探头</w:t>
            </w:r>
          </w:p>
          <w:p w14:paraId="543F62D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6)    具有造影计时器以及闪烁造影成像技术</w:t>
            </w:r>
          </w:p>
          <w:p w14:paraId="4185792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7)  具备实时微血管造影成像技术</w:t>
            </w:r>
          </w:p>
          <w:p w14:paraId="4230131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 具备组织抑制技术功能</w:t>
            </w:r>
          </w:p>
          <w:p w14:paraId="0939321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   在机及离机造影时间强度曲线定量分析</w:t>
            </w:r>
          </w:p>
          <w:p w14:paraId="68B878A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10)  具备造影定量分析组织运动追踪技术，实时追踪被定量组织，消除因患者呼吸、运动等产生的组织位移</w:t>
            </w:r>
          </w:p>
          <w:p w14:paraId="30BFAF8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   双微造影：造影及微视血流成像两项技术实时对比显示，在造影延迟相显示组织及肿瘤的血供</w:t>
            </w:r>
          </w:p>
          <w:p w14:paraId="485AF23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1.2.9  弹性成像技术</w:t>
            </w:r>
          </w:p>
          <w:p w14:paraId="64DACAA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   实时软组织弹性成像技术，无需人工加压，具有灰阶，反转及彩色多普勒多种显像方式</w:t>
            </w:r>
          </w:p>
          <w:p w14:paraId="0E7AD2F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   具备囊实性结构鉴别弹性成像技术</w:t>
            </w:r>
          </w:p>
          <w:p w14:paraId="5C45025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   具备浅表及腔内弹性成像</w:t>
            </w:r>
          </w:p>
          <w:p w14:paraId="18C25BD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   主机内置一体化实时弹性定量分析技术，可对弹性图像进行直径面积对比分析、动态弹性应变分析、动态弹性参数成像</w:t>
            </w:r>
          </w:p>
          <w:p w14:paraId="66022B7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1.2.11 实时剪切波弹性定量技术，可实时对感兴趣区域内组织进行硬度定量评价</w:t>
            </w:r>
          </w:p>
          <w:p w14:paraId="4B9ED33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   支持腹部及浅表探头</w:t>
            </w:r>
          </w:p>
          <w:p w14:paraId="2DFFBCE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   具有彩色编码功能，可双幅显示灰阶图与彩色编码图，并具有置信图模式</w:t>
            </w:r>
          </w:p>
          <w:p w14:paraId="541CA61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   取样框ROI可调节大小</w:t>
            </w:r>
          </w:p>
          <w:p w14:paraId="584DD7A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▲1.2.13 具有微视血流成像技术，支持凸阵、线阵探头，具有单独模式、增强模式及2D对比模式，具有多种map图可选。</w:t>
            </w:r>
          </w:p>
          <w:p w14:paraId="471B43F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1.2.14 血管中内膜自动测量与分析</w:t>
            </w:r>
          </w:p>
          <w:p w14:paraId="0E08264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   要求对感兴趣区域内自动测量，无需手动描计</w:t>
            </w:r>
          </w:p>
          <w:p w14:paraId="06F2E28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   计算结果为一段距离内的平均值，提高测量的可靠性和可重复性，并可根据血管内中膜厚度不同进行优化设置</w:t>
            </w:r>
          </w:p>
          <w:p w14:paraId="7E32A2F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   脱机数据可输出</w:t>
            </w:r>
          </w:p>
          <w:p w14:paraId="7F64058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1.2.15 具备智能多普勒血管检查技术</w:t>
            </w:r>
          </w:p>
          <w:p w14:paraId="7CBADD3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   单键优化二维、多普勒图像质量</w:t>
            </w:r>
          </w:p>
          <w:p w14:paraId="5EBF505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2)单键自动调整取样框角度、位置、取样门位置、角度等</w:t>
            </w:r>
          </w:p>
          <w:p w14:paraId="54627EB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▲3)具备血流自动追踪技术，可跟随探头的移动实时追踪血管位置，自动调整彩色图像（包括取样框角度、位置等），自动优化频谱测量以保证测量值的准确性</w:t>
            </w:r>
          </w:p>
          <w:p w14:paraId="4850F11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1.2.16 脑卒中疾病诊断相关技术</w:t>
            </w:r>
          </w:p>
          <w:p w14:paraId="1DDC384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    可自动记录颈总动脉和颈内动脉的近端、中端、远端的血流速度测量结果</w:t>
            </w:r>
          </w:p>
          <w:p w14:paraId="1E199CF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    自动得到颈总动脉和颈内动脉血流速度峰值</w:t>
            </w:r>
          </w:p>
          <w:p w14:paraId="0C74151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    计算出颈内动脉和颈总动脉的血流速度峰值速度比</w:t>
            </w:r>
          </w:p>
          <w:p w14:paraId="3B551AF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1.3 测量和分析： ( B 型、M 型、D 型、彩色模式)</w:t>
            </w:r>
          </w:p>
          <w:p w14:paraId="3B82F84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1.3.1  一般测量：距离、面积、周长等</w:t>
            </w:r>
          </w:p>
          <w:p w14:paraId="535FC89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1.3.2  产科测量：包括全面的产科径线测量、NT测量、单/双胎儿孕龄及生长曲线、羊水指数、新生儿髋关节角度等</w:t>
            </w:r>
          </w:p>
          <w:p w14:paraId="3A72D42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1.3.3  外周血管测量和计算功能</w:t>
            </w:r>
          </w:p>
          <w:p w14:paraId="0E1DE9D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1.3.4  多普勒血流测量与分析 (含自动多普勒频谱包络计算)</w:t>
            </w:r>
          </w:p>
          <w:p w14:paraId="5028470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1.3.5  心脏功能测量</w:t>
            </w:r>
          </w:p>
          <w:p w14:paraId="38D4158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1.4 图像存储 (电影) 回放重显及病案管理单元</w:t>
            </w:r>
          </w:p>
          <w:p w14:paraId="20935A7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1.4.1  数字化捕捉、回放、存储静、动态图像，实时图像传输，实时 JPEG 解压缩，可进行参数编程调节</w:t>
            </w:r>
          </w:p>
          <w:p w14:paraId="64B76D7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1.4.2  硬盘≥1T（1024G），DVD／USB图像存储,电影回放重现单元2200帧</w:t>
            </w:r>
          </w:p>
          <w:p w14:paraId="37D8B53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1.4.3  具备主机硬盘图像数据存储</w:t>
            </w:r>
          </w:p>
          <w:p w14:paraId="7AB1AC7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1.4.4  病案管理单元包括病人资料、报告、图像等的存储、修改、检索和打印等</w:t>
            </w:r>
          </w:p>
          <w:p w14:paraId="1322098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1.4.5  可根据检查要求对工作站参数（存储、压缩、回放）进行编程调节</w:t>
            </w:r>
          </w:p>
          <w:p w14:paraId="3F2402D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1.5 输入/输出信号</w:t>
            </w:r>
          </w:p>
          <w:p w14:paraId="104EF5A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1.5.1输入：DICOM DATA</w:t>
            </w:r>
          </w:p>
          <w:p w14:paraId="6D63DF0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1.5.2  输出：S-视频、DP高清数字化输出</w:t>
            </w:r>
          </w:p>
          <w:p w14:paraId="785DB74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1.6 连通性：医学数字图像和通信 DICOM 3.0 版接口部件</w:t>
            </w:r>
          </w:p>
          <w:p w14:paraId="2B400FC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1.7 探头接口选择：≥ 4个，微型非针式，并激活可互换通用</w:t>
            </w:r>
          </w:p>
          <w:p w14:paraId="345DEA2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2.探头</w:t>
            </w:r>
          </w:p>
          <w:p w14:paraId="6FF2301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★2.1标配5把探头.</w:t>
            </w:r>
          </w:p>
          <w:p w14:paraId="1FB79BA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2.2探头要求</w:t>
            </w:r>
          </w:p>
          <w:p w14:paraId="341024D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2.2.1腹部凸阵探头（1.0-5.0MHz）</w:t>
            </w:r>
          </w:p>
          <w:p w14:paraId="2D3282E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2.2.2微凸探头（3-12.0MHz)</w:t>
            </w:r>
          </w:p>
          <w:p w14:paraId="149B5B5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2.2.3高频线阵探头（3.0-12.0MHz）</w:t>
            </w:r>
          </w:p>
          <w:p w14:paraId="5FC39AB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2.2.4成人心脏单晶体（或冰晶或纯净波）相控阵探头（1.0-5.0MHz）</w:t>
            </w:r>
          </w:p>
          <w:p w14:paraId="102828D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2.2.5小儿心脏相控阵探头（2.0-9.0MHz）</w:t>
            </w:r>
          </w:p>
          <w:p w14:paraId="3DDBCC5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2.3  二维、彩色多普勒均可独立变频</w:t>
            </w:r>
          </w:p>
          <w:p w14:paraId="4EA36E1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 xml:space="preserve">2.4  类型：电子相控阵、线阵、凸阵 </w:t>
            </w:r>
          </w:p>
          <w:p w14:paraId="223F2B9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2.5 扫描深度≥40cm</w:t>
            </w:r>
          </w:p>
          <w:p w14:paraId="3873526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6.6 穿刺导向：探头可配穿刺导向装置</w:t>
            </w:r>
          </w:p>
          <w:p w14:paraId="4F9D778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2.7 二维显像主要参数</w:t>
            </w:r>
          </w:p>
          <w:p w14:paraId="318A089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2.8 成像速度：相控阵探头，85°角,18CM深度时,帧速度≥55帧/秒</w:t>
            </w:r>
          </w:p>
          <w:p w14:paraId="0E8698F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 xml:space="preserve"> 凸阵探头, 85°角,18CM深度时,帧速度≥45帧/秒</w:t>
            </w:r>
          </w:p>
          <w:p w14:paraId="3D9DE9F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 xml:space="preserve">                      扫描线：每帧线密度≥320超声线</w:t>
            </w:r>
          </w:p>
          <w:p w14:paraId="5BE433E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▲2.9  增益调节：TGC增益补偿≥8 段，LGC侧向增益补偿≥8 段，B/M 可独立调节</w:t>
            </w:r>
          </w:p>
          <w:p w14:paraId="7B3611D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2.10  高分辨率放大：放大时增加信息量，提高分辨率及帧率</w:t>
            </w:r>
          </w:p>
          <w:p w14:paraId="586BB7A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  声束聚焦：发射及接收全程连续聚焦</w:t>
            </w:r>
          </w:p>
          <w:p w14:paraId="70B46A5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2.12  接收方式：独立接收和发射通道数, 多倍信号并行处理</w:t>
            </w:r>
          </w:p>
          <w:p w14:paraId="0940EA6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3.频谱多普勒</w:t>
            </w:r>
          </w:p>
          <w:p w14:paraId="29C1526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3.1  显示模式：脉冲多普勒 (PWD)、高脉冲重复频率 (HPRF)、连续波多普勒（CW）</w:t>
            </w:r>
          </w:p>
          <w:p w14:paraId="34F3801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3.2  显示方式：B/D、M/D、D、B/CDV、B/CPA、B/CDV/PW；B/CPA/PW；B/CDV/CW</w:t>
            </w:r>
          </w:p>
          <w:p w14:paraId="5BE1777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3.3  最大测量速度：PWD正或反向血流速度：≥ 10.0 m/s（0度夹角）；CWD:血流速度≥20.0m/s</w:t>
            </w:r>
          </w:p>
          <w:p w14:paraId="4FE16B7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▲3.4   最低测量速度：≤ 0.25mm/s (非噪音信号)；</w:t>
            </w:r>
          </w:p>
          <w:p w14:paraId="3DA5FB1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3.5  Doppler及M型电影回放：≥48 秒</w:t>
            </w:r>
          </w:p>
          <w:p w14:paraId="3ED68B9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3.6  滤波器：高通滤波或低通滤波两种，分级选择</w:t>
            </w:r>
          </w:p>
          <w:p w14:paraId="5B63683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▲3.7  取样宽度及位置范围：宽度 0.5mm至20mm多级可调</w:t>
            </w:r>
          </w:p>
          <w:p w14:paraId="6FAFD9D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3.8  零位移动：≥9 级</w:t>
            </w:r>
          </w:p>
          <w:p w14:paraId="74C6357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3.9 显示控制：反转显示 (上/下)、零移位、B-刷新、D 扩展、B/D 扩展，局放及移位</w:t>
            </w:r>
          </w:p>
          <w:p w14:paraId="70208D0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3.10  实时自动包络频谱并完成频谱测量计算</w:t>
            </w:r>
          </w:p>
          <w:p w14:paraId="460243E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4.彩色多普勒</w:t>
            </w:r>
          </w:p>
          <w:p w14:paraId="6738368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4.1  显示方式：速度图 (CDV)、能量图 (CPA)、方向性能量图（DCPA）</w:t>
            </w:r>
          </w:p>
          <w:p w14:paraId="26ABC29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4.2  彩色增强功能:彩色多普勒能量图(CDE/CPI);组织多普勒(TDI)</w:t>
            </w:r>
          </w:p>
          <w:p w14:paraId="018B4E8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4.3 具有双同步 / 三同步显示(B/D/CDV)</w:t>
            </w:r>
          </w:p>
          <w:p w14:paraId="0CACC20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4.4  彩色显示速度：最低平均血流显示速度≤5mm/s（非噪声信号）</w:t>
            </w:r>
          </w:p>
          <w:p w14:paraId="1E15831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4.5  显示控制：零位移动、黑白与彩色比较、彩色对比</w:t>
            </w:r>
          </w:p>
          <w:p w14:paraId="37D3239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4.6  显示位置调整：线阵扫描感兴趣的图像范围：-20°～ +20°</w:t>
            </w:r>
          </w:p>
          <w:p w14:paraId="026E465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 超声功率输出调节</w:t>
            </w:r>
          </w:p>
          <w:p w14:paraId="51BA18F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5.1  B/M、PWD、COLOR DOPPLER</w:t>
            </w:r>
          </w:p>
          <w:p w14:paraId="7AFA000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5.2  输出功率选择分级可调</w:t>
            </w:r>
          </w:p>
          <w:p w14:paraId="2418A04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6. 记录装置</w:t>
            </w:r>
          </w:p>
          <w:p w14:paraId="3503CF3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6.1 主机硬盘容量≥1T（1024GB）</w:t>
            </w:r>
          </w:p>
          <w:p w14:paraId="663F600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6.2 DVD-RW 或USB图像存储</w:t>
            </w:r>
          </w:p>
          <w:p w14:paraId="26CD09A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6.3 USB接口≥5个，用于图像传输</w:t>
            </w:r>
            <w:r>
              <w:rPr>
                <w:rFonts w:hint="eastAsia" w:ascii="宋体" w:hAnsi="宋体" w:eastAsia="宋体" w:cs="Arial"/>
                <w:color w:val="auto"/>
                <w:kern w:val="0"/>
                <w:sz w:val="24"/>
                <w:szCs w:val="24"/>
                <w:highlight w:val="none"/>
                <w:lang w:val="en-US" w:eastAsia="zh-CN"/>
              </w:rPr>
              <w:t>7</w:t>
            </w:r>
            <w:r>
              <w:rPr>
                <w:rFonts w:hint="eastAsia" w:ascii="宋体" w:hAnsi="宋体" w:eastAsia="宋体" w:cs="Arial"/>
                <w:color w:val="auto"/>
                <w:kern w:val="0"/>
                <w:sz w:val="24"/>
                <w:szCs w:val="24"/>
                <w:highlight w:val="none"/>
              </w:rPr>
              <w:t>.配套设施设备：空气消毒机1台</w:t>
            </w:r>
          </w:p>
        </w:tc>
        <w:tc>
          <w:tcPr>
            <w:tcW w:w="454" w:type="pct"/>
            <w:tcBorders>
              <w:top w:val="single" w:color="auto" w:sz="4" w:space="0"/>
              <w:left w:val="nil"/>
              <w:bottom w:val="single" w:color="auto" w:sz="4" w:space="0"/>
              <w:right w:val="single" w:color="auto" w:sz="4" w:space="0"/>
            </w:tcBorders>
            <w:shd w:val="clear" w:color="auto" w:fill="FFFFFF"/>
            <w:vAlign w:val="center"/>
          </w:tcPr>
          <w:p w14:paraId="07D3AE55">
            <w:pPr>
              <w:widowControl/>
              <w:tabs>
                <w:tab w:val="left" w:pos="900"/>
              </w:tabs>
              <w:jc w:val="center"/>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套</w:t>
            </w:r>
          </w:p>
        </w:tc>
        <w:tc>
          <w:tcPr>
            <w:tcW w:w="454" w:type="pct"/>
            <w:tcBorders>
              <w:top w:val="single" w:color="auto" w:sz="4" w:space="0"/>
              <w:left w:val="nil"/>
              <w:bottom w:val="single" w:color="auto" w:sz="4" w:space="0"/>
              <w:right w:val="single" w:color="auto" w:sz="4" w:space="0"/>
            </w:tcBorders>
            <w:shd w:val="clear" w:color="auto" w:fill="FFFFFF"/>
            <w:vAlign w:val="center"/>
          </w:tcPr>
          <w:p w14:paraId="395DC3CB">
            <w:pPr>
              <w:widowControl/>
              <w:tabs>
                <w:tab w:val="left" w:pos="900"/>
              </w:tabs>
              <w:jc w:val="center"/>
              <w:textAlignment w:val="center"/>
              <w:rPr>
                <w:rFonts w:hint="default" w:ascii="宋体" w:hAnsi="宋体" w:eastAsia="宋体" w:cs="Arial"/>
                <w:color w:val="auto"/>
                <w:kern w:val="0"/>
                <w:sz w:val="24"/>
                <w:szCs w:val="24"/>
                <w:highlight w:val="none"/>
                <w:lang w:val="en-US" w:eastAsia="zh-CN"/>
              </w:rPr>
            </w:pPr>
            <w:r>
              <w:rPr>
                <w:rFonts w:hint="eastAsia" w:ascii="宋体" w:hAnsi="宋体" w:eastAsia="宋体" w:cs="Arial"/>
                <w:color w:val="auto"/>
                <w:kern w:val="0"/>
                <w:sz w:val="24"/>
                <w:szCs w:val="24"/>
                <w:highlight w:val="none"/>
                <w:lang w:val="en-US" w:eastAsia="zh-CN"/>
              </w:rPr>
              <w:t>2</w:t>
            </w:r>
          </w:p>
        </w:tc>
        <w:tc>
          <w:tcPr>
            <w:tcW w:w="618" w:type="pct"/>
            <w:tcBorders>
              <w:top w:val="single" w:color="auto" w:sz="4" w:space="0"/>
              <w:left w:val="nil"/>
              <w:bottom w:val="single" w:color="auto" w:sz="4" w:space="0"/>
              <w:right w:val="single" w:color="auto" w:sz="4" w:space="0"/>
            </w:tcBorders>
            <w:vAlign w:val="center"/>
          </w:tcPr>
          <w:p w14:paraId="20CF6A10">
            <w:pPr>
              <w:widowControl/>
              <w:jc w:val="center"/>
              <w:rPr>
                <w:rFonts w:hint="eastAsia" w:ascii="宋体" w:hAnsi="宋体" w:eastAsia="宋体" w:cs="Arial"/>
                <w:color w:val="auto"/>
                <w:kern w:val="0"/>
                <w:sz w:val="24"/>
                <w:szCs w:val="24"/>
                <w:highlight w:val="none"/>
                <w:lang w:val="en-US" w:eastAsia="zh-CN"/>
              </w:rPr>
            </w:pPr>
            <w:r>
              <w:rPr>
                <w:rFonts w:hint="eastAsia" w:ascii="宋体" w:hAnsi="宋体" w:eastAsia="宋体" w:cs="Arial"/>
                <w:color w:val="auto"/>
                <w:kern w:val="0"/>
                <w:sz w:val="24"/>
                <w:szCs w:val="24"/>
                <w:highlight w:val="none"/>
                <w:lang w:val="en-US" w:eastAsia="zh-CN"/>
              </w:rPr>
              <w:t>是</w:t>
            </w:r>
          </w:p>
        </w:tc>
      </w:tr>
      <w:tr w14:paraId="10B2F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9" w:type="pct"/>
            <w:tcBorders>
              <w:top w:val="single" w:color="auto" w:sz="4" w:space="0"/>
              <w:left w:val="single" w:color="auto" w:sz="4" w:space="0"/>
              <w:bottom w:val="single" w:color="auto" w:sz="4" w:space="0"/>
              <w:right w:val="single" w:color="auto" w:sz="4" w:space="0"/>
            </w:tcBorders>
            <w:shd w:val="clear" w:color="auto" w:fill="FFFFFF"/>
            <w:vAlign w:val="center"/>
          </w:tcPr>
          <w:p w14:paraId="62B9E523">
            <w:pPr>
              <w:widowControl/>
              <w:tabs>
                <w:tab w:val="left" w:pos="420"/>
                <w:tab w:val="left" w:pos="900"/>
              </w:tabs>
              <w:jc w:val="center"/>
              <w:rPr>
                <w:rFonts w:hint="eastAsia" w:ascii="宋体" w:hAnsi="宋体" w:eastAsia="宋体" w:cs="Arial"/>
                <w:color w:val="auto"/>
                <w:kern w:val="0"/>
                <w:sz w:val="24"/>
                <w:szCs w:val="24"/>
                <w:highlight w:val="none"/>
                <w:lang w:val="en-US" w:eastAsia="zh-CN"/>
              </w:rPr>
            </w:pPr>
            <w:r>
              <w:rPr>
                <w:rFonts w:hint="eastAsia" w:ascii="宋体" w:hAnsi="宋体" w:eastAsia="宋体" w:cs="Arial"/>
                <w:color w:val="auto"/>
                <w:kern w:val="0"/>
                <w:sz w:val="24"/>
                <w:szCs w:val="24"/>
                <w:highlight w:val="none"/>
                <w:lang w:val="en-US" w:eastAsia="zh-CN"/>
              </w:rPr>
              <w:t>3</w:t>
            </w:r>
          </w:p>
        </w:tc>
        <w:tc>
          <w:tcPr>
            <w:tcW w:w="846" w:type="pct"/>
            <w:tcBorders>
              <w:top w:val="single" w:color="auto" w:sz="4" w:space="0"/>
              <w:left w:val="nil"/>
              <w:bottom w:val="single" w:color="auto" w:sz="4" w:space="0"/>
              <w:right w:val="single" w:color="auto" w:sz="4" w:space="0"/>
            </w:tcBorders>
            <w:shd w:val="clear" w:color="auto" w:fill="FFFFFF"/>
            <w:vAlign w:val="center"/>
          </w:tcPr>
          <w:p w14:paraId="682D481F">
            <w:pPr>
              <w:widowControl/>
              <w:tabs>
                <w:tab w:val="left" w:pos="900"/>
              </w:tabs>
              <w:jc w:val="center"/>
              <w:textAlignment w:val="center"/>
              <w:rPr>
                <w:rFonts w:hint="eastAsia" w:ascii="宋体" w:hAnsi="宋体" w:eastAsia="宋体" w:cs="Arial"/>
                <w:color w:val="auto"/>
                <w:kern w:val="0"/>
                <w:sz w:val="24"/>
                <w:szCs w:val="24"/>
                <w:highlight w:val="none"/>
                <w:lang w:val="en-US" w:eastAsia="zh-CN"/>
              </w:rPr>
            </w:pPr>
            <w:r>
              <w:rPr>
                <w:rFonts w:hint="eastAsia" w:ascii="宋体" w:hAnsi="宋体" w:eastAsia="宋体" w:cs="Arial"/>
                <w:color w:val="auto"/>
                <w:kern w:val="0"/>
                <w:sz w:val="24"/>
                <w:szCs w:val="24"/>
                <w:highlight w:val="none"/>
                <w:lang w:val="en-US" w:eastAsia="zh-CN"/>
              </w:rPr>
              <w:t>彩超（甲乳）</w:t>
            </w:r>
          </w:p>
        </w:tc>
        <w:tc>
          <w:tcPr>
            <w:tcW w:w="2277" w:type="pct"/>
            <w:tcBorders>
              <w:top w:val="single" w:color="auto" w:sz="4" w:space="0"/>
              <w:left w:val="nil"/>
              <w:bottom w:val="single" w:color="auto" w:sz="4" w:space="0"/>
              <w:right w:val="single" w:color="auto" w:sz="4" w:space="0"/>
            </w:tcBorders>
            <w:shd w:val="clear" w:color="auto" w:fill="FFFFFF"/>
            <w:vAlign w:val="center"/>
          </w:tcPr>
          <w:p w14:paraId="1C18FE3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用途：主要用于腹部、胎儿心脏、成人心脏、经食道心脏、新生儿、小儿、血管（外周、颅脑、腹部）、小器官、骨骼肌肉、神经、术中，造影、介入等方面的临床诊断和科研教学工作，能满足开展新的临床应用需求</w:t>
            </w:r>
          </w:p>
          <w:p w14:paraId="22B4D02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一、 主要技术规格及系统概述：</w:t>
            </w:r>
          </w:p>
          <w:p w14:paraId="6B52CB5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（一）主机成像系统：</w:t>
            </w:r>
          </w:p>
          <w:p w14:paraId="75CE76B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 高分辨率液晶显示器≥23.8英寸分辨率1920×1080,无闪烁，不间断逐行扫描，可上下左右任意旋转，可前后折叠</w:t>
            </w:r>
          </w:p>
          <w:p w14:paraId="0A1A4C2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1.2 操作面板具备液晶触摸屏≥12英寸,可通过手指滑动触摸屏进行翻页，直接点击触摸屏即可选择需要调节的参数，操作面板可上下左右进行高度调整及旋转</w:t>
            </w:r>
          </w:p>
          <w:p w14:paraId="717DA66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1.3组织抑制技术功能</w:t>
            </w:r>
          </w:p>
          <w:p w14:paraId="4DBE713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（二）先进成像技术：</w:t>
            </w:r>
          </w:p>
          <w:p w14:paraId="11C05DA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2.1具备全屏高清放大功能，放大后图像显示区域尺寸≥23</w:t>
            </w:r>
            <w:r>
              <w:rPr>
                <w:rFonts w:hint="eastAsia" w:ascii="宋体" w:hAnsi="宋体" w:eastAsia="宋体" w:cs="Arial"/>
                <w:color w:val="auto"/>
                <w:kern w:val="0"/>
                <w:sz w:val="24"/>
                <w:szCs w:val="24"/>
                <w:highlight w:val="none"/>
                <w:lang w:val="en-US" w:eastAsia="zh-CN"/>
              </w:rPr>
              <w:t>英寸</w:t>
            </w:r>
            <w:r>
              <w:rPr>
                <w:rFonts w:hint="eastAsia" w:ascii="宋体" w:hAnsi="宋体" w:eastAsia="宋体" w:cs="Arial"/>
                <w:color w:val="auto"/>
                <w:kern w:val="0"/>
                <w:sz w:val="24"/>
                <w:szCs w:val="24"/>
                <w:highlight w:val="none"/>
              </w:rPr>
              <w:t>，显示比例≥16：9，分辨率≥1080p（1920x1080）</w:t>
            </w:r>
          </w:p>
          <w:p w14:paraId="0E35DD2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2.4线阵、凸阵及容积探头</w:t>
            </w:r>
          </w:p>
          <w:p w14:paraId="06E8330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（三） 多影像实时对比联合诊断技术：</w:t>
            </w:r>
          </w:p>
          <w:p w14:paraId="20EAE7E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3.1主机可直接获取和浏览CT</w:t>
            </w:r>
            <w:r>
              <w:rPr>
                <w:rFonts w:hint="eastAsia" w:ascii="宋体" w:hAnsi="宋体" w:eastAsia="宋体" w:cs="Arial"/>
                <w:color w:val="auto"/>
                <w:kern w:val="0"/>
                <w:sz w:val="24"/>
                <w:szCs w:val="24"/>
                <w:highlight w:val="none"/>
                <w:lang w:eastAsia="zh-CN"/>
              </w:rPr>
              <w:t>、</w:t>
            </w:r>
            <w:r>
              <w:rPr>
                <w:rFonts w:hint="eastAsia" w:ascii="宋体" w:hAnsi="宋体" w:eastAsia="宋体" w:cs="Arial"/>
                <w:color w:val="auto"/>
                <w:kern w:val="0"/>
                <w:sz w:val="24"/>
                <w:szCs w:val="24"/>
                <w:highlight w:val="none"/>
              </w:rPr>
              <w:t>NM</w:t>
            </w:r>
            <w:r>
              <w:rPr>
                <w:rFonts w:hint="eastAsia" w:ascii="宋体" w:hAnsi="宋体" w:eastAsia="宋体" w:cs="Arial"/>
                <w:color w:val="auto"/>
                <w:kern w:val="0"/>
                <w:sz w:val="24"/>
                <w:szCs w:val="24"/>
                <w:highlight w:val="none"/>
                <w:lang w:val="en-US" w:eastAsia="zh-CN"/>
              </w:rPr>
              <w:t>以及</w:t>
            </w:r>
            <w:r>
              <w:rPr>
                <w:rFonts w:hint="eastAsia" w:ascii="宋体" w:hAnsi="宋体" w:eastAsia="宋体" w:cs="Arial"/>
                <w:color w:val="auto"/>
                <w:kern w:val="0"/>
                <w:sz w:val="24"/>
                <w:szCs w:val="24"/>
                <w:highlight w:val="none"/>
              </w:rPr>
              <w:t>MR，超声的DICOM图像，同屏对比既往和目前的超声图像，回顾实时的、存储的、输出的图像进行对比诊断</w:t>
            </w:r>
          </w:p>
          <w:p w14:paraId="2065FEA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(四) 术者模式：</w:t>
            </w:r>
          </w:p>
          <w:p w14:paraId="02E2907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4.1可实时双屏显示，主屏幕与触摸屏实时同步显示扫描图像</w:t>
            </w:r>
          </w:p>
          <w:p w14:paraId="08F90A8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（五）造影成像技术：</w:t>
            </w:r>
          </w:p>
          <w:p w14:paraId="661A6F8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5.1 高帧频造影模式：凸阵造影帧频≥50帧/秒；线阵造影帧频≥90帧/秒</w:t>
            </w:r>
          </w:p>
          <w:p w14:paraId="4932274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5.2造影剂二次谐波成像单元,包含低MI实时灌注成像、中MI造影成像和高MI造影成像，采用脉冲反相谐波技术、能量调制技术以及多脉冲序列谐波造影技术</w:t>
            </w:r>
          </w:p>
          <w:p w14:paraId="227C5C1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5.3可与复合成像技术、核磁像素优化技术结合使用</w:t>
            </w:r>
          </w:p>
          <w:p w14:paraId="7EC8703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5.4具有实时双幅造影对比成像模式，并可进行双幅实时同步测量</w:t>
            </w:r>
          </w:p>
          <w:p w14:paraId="452A957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5.5 造影技术支持凸阵，线阵，腔内探头，相控阵，微凸探头</w:t>
            </w:r>
          </w:p>
          <w:p w14:paraId="37A68A3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5.6具有造影计时器以及闪烁造影成像技术</w:t>
            </w:r>
          </w:p>
          <w:p w14:paraId="5D0C89F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5.7双微造影：结合造影及微视血流成像两项技术，在造影延迟相显示组织及肿瘤的血供，帮助分辨肿瘤的良恶性</w:t>
            </w:r>
          </w:p>
          <w:p w14:paraId="0DB73A5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（六）具有微视血流成像技术，支持凸阵、线阵探头，具有单独模式、增强模式及2D对比模式，具有</w:t>
            </w:r>
            <w:r>
              <w:rPr>
                <w:rFonts w:hint="eastAsia" w:ascii="宋体" w:hAnsi="宋体" w:eastAsia="宋体" w:cs="Arial"/>
                <w:color w:val="auto"/>
                <w:kern w:val="0"/>
                <w:sz w:val="24"/>
                <w:szCs w:val="24"/>
                <w:highlight w:val="none"/>
                <w:lang w:val="en-US" w:eastAsia="zh-CN"/>
              </w:rPr>
              <w:t>多</w:t>
            </w:r>
            <w:r>
              <w:rPr>
                <w:rFonts w:hint="eastAsia" w:ascii="宋体" w:hAnsi="宋体" w:eastAsia="宋体" w:cs="Arial"/>
                <w:color w:val="auto"/>
                <w:kern w:val="0"/>
                <w:sz w:val="24"/>
                <w:szCs w:val="24"/>
                <w:highlight w:val="none"/>
              </w:rPr>
              <w:t>种map图可选。</w:t>
            </w:r>
          </w:p>
          <w:p w14:paraId="1D0443C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（七）血管中内膜自动测量与分析：</w:t>
            </w:r>
          </w:p>
          <w:p w14:paraId="6EF9966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7.1要求对感兴趣区域内自动测量，无需手动描计</w:t>
            </w:r>
          </w:p>
          <w:p w14:paraId="1E54F31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7.2计算结果为一段距离内的平均值，提高测量的可靠性和可重复性，并可根据血管内中膜厚度不同进行优化设置</w:t>
            </w:r>
          </w:p>
          <w:p w14:paraId="74D1904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7.3脱机数据可输出</w:t>
            </w:r>
          </w:p>
          <w:p w14:paraId="3D81199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（八）具备智能多普勒血管检查技术：</w:t>
            </w:r>
          </w:p>
          <w:p w14:paraId="026AE7F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8.1单键优化二维、多普勒图像质量</w:t>
            </w:r>
          </w:p>
          <w:p w14:paraId="51A2C96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8.2单键自动调整取样框角度、位置、取样门位置、角度等</w:t>
            </w:r>
          </w:p>
          <w:p w14:paraId="3FB7667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8.3具备血流自动追踪技术，可跟随探头的移动实时追踪血管位置，自动调整彩色图像（包括取样框角度、位置等），自动优化频谱测量</w:t>
            </w:r>
          </w:p>
          <w:p w14:paraId="11B9D79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（九）脑卒中疾病诊断相关技术：</w:t>
            </w:r>
          </w:p>
          <w:p w14:paraId="186D80F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9.1可自动记录颈总动脉和颈内动脉的近端、中端、远端的血流速度测量结果</w:t>
            </w:r>
          </w:p>
          <w:p w14:paraId="1E182BB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9.2自动得到颈总动脉和颈内动脉血流速度峰值</w:t>
            </w:r>
          </w:p>
          <w:p w14:paraId="0B7196E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9.3计算出颈内动脉和颈总动脉的血流速度峰值速度比</w:t>
            </w:r>
          </w:p>
          <w:p w14:paraId="06F8FCE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（十）测量和分析： ( B 型、M 型、D 型、彩色模式)</w:t>
            </w:r>
          </w:p>
          <w:p w14:paraId="08C5AD7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10.1 一般测量：距离、面积、周长等</w:t>
            </w:r>
          </w:p>
          <w:p w14:paraId="207ED8E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10.2 产科测量：包括全面的产科径线测量、NT测量、单/双胎儿孕龄及生长曲线、羊水指数、新生儿髋关节角度等</w:t>
            </w:r>
          </w:p>
          <w:p w14:paraId="6B485A8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10.3外周血管测量和计算功能</w:t>
            </w:r>
          </w:p>
          <w:p w14:paraId="47F9CA1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10.4 多普勒血流测量与分析 (含自动多普勒频谱包络计算)</w:t>
            </w:r>
          </w:p>
          <w:p w14:paraId="76AE07C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10.4 心脏功能测量</w:t>
            </w:r>
          </w:p>
          <w:p w14:paraId="27195B2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（十一）图像存储 (电影) 回放重显及病案管理单元：</w:t>
            </w:r>
          </w:p>
          <w:p w14:paraId="576ACCA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11.1 数字化捕捉、回放、存储静、动态图像，实时图像传输，实时 JPEG 解压缩，可进行参数编程调节</w:t>
            </w:r>
          </w:p>
          <w:p w14:paraId="1808C0E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11.2 硬盘≥2T（1024G），DVD／USB图像存储,电影回放重现单元2200帧</w:t>
            </w:r>
          </w:p>
          <w:p w14:paraId="6DEC377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二、系统技术参数及要求：</w:t>
            </w:r>
          </w:p>
          <w:p w14:paraId="6627A9C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（十二）系统通用功能：</w:t>
            </w:r>
          </w:p>
          <w:p w14:paraId="43AB512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▲12.1探头接口选择：≥ 4个，微型非针式，并激活可互换通用</w:t>
            </w:r>
          </w:p>
          <w:p w14:paraId="6F01427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（十三）探头</w:t>
            </w:r>
            <w:r>
              <w:rPr>
                <w:rFonts w:hint="eastAsia" w:ascii="宋体" w:hAnsi="宋体" w:eastAsia="宋体" w:cs="Arial"/>
                <w:color w:val="auto"/>
                <w:kern w:val="0"/>
                <w:sz w:val="24"/>
                <w:szCs w:val="24"/>
                <w:highlight w:val="none"/>
                <w:lang w:val="en-US" w:eastAsia="zh-CN"/>
              </w:rPr>
              <w:t>要求</w:t>
            </w:r>
            <w:r>
              <w:rPr>
                <w:rFonts w:hint="eastAsia" w:ascii="宋体" w:hAnsi="宋体" w:eastAsia="宋体" w:cs="Arial"/>
                <w:color w:val="auto"/>
                <w:kern w:val="0"/>
                <w:sz w:val="24"/>
                <w:szCs w:val="24"/>
                <w:highlight w:val="none"/>
              </w:rPr>
              <w:t>：</w:t>
            </w:r>
          </w:p>
          <w:p w14:paraId="0B92993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★13.</w:t>
            </w:r>
            <w:r>
              <w:rPr>
                <w:rFonts w:hint="eastAsia" w:ascii="宋体" w:hAnsi="宋体" w:eastAsia="宋体" w:cs="Arial"/>
                <w:color w:val="auto"/>
                <w:kern w:val="0"/>
                <w:sz w:val="24"/>
                <w:szCs w:val="24"/>
                <w:highlight w:val="none"/>
                <w:lang w:val="en-US" w:eastAsia="zh-CN"/>
              </w:rPr>
              <w:t>1</w:t>
            </w:r>
            <w:r>
              <w:rPr>
                <w:rFonts w:hint="eastAsia" w:ascii="宋体" w:hAnsi="宋体" w:eastAsia="宋体" w:cs="Arial"/>
                <w:color w:val="auto"/>
                <w:kern w:val="0"/>
                <w:sz w:val="24"/>
                <w:szCs w:val="24"/>
                <w:highlight w:val="none"/>
              </w:rPr>
              <w:t>配置5把探头</w:t>
            </w:r>
          </w:p>
          <w:p w14:paraId="59113E4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▲13.</w:t>
            </w:r>
            <w:r>
              <w:rPr>
                <w:rFonts w:hint="eastAsia" w:ascii="宋体" w:hAnsi="宋体" w:eastAsia="宋体" w:cs="Arial"/>
                <w:color w:val="auto"/>
                <w:kern w:val="0"/>
                <w:sz w:val="24"/>
                <w:szCs w:val="24"/>
                <w:highlight w:val="none"/>
                <w:lang w:val="en-US" w:eastAsia="zh-CN"/>
              </w:rPr>
              <w:t>2</w:t>
            </w:r>
            <w:r>
              <w:rPr>
                <w:rFonts w:hint="eastAsia" w:ascii="宋体" w:hAnsi="宋体" w:eastAsia="宋体" w:cs="Arial"/>
                <w:color w:val="auto"/>
                <w:kern w:val="0"/>
                <w:sz w:val="24"/>
                <w:szCs w:val="24"/>
                <w:highlight w:val="none"/>
              </w:rPr>
              <w:t>单晶体（或冰晶或纯净波）腹部凸阵探头（1.0-4.8MHz）</w:t>
            </w:r>
          </w:p>
          <w:p w14:paraId="67EEE81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血管/小器官线阵探头（3.0-12.0MHz）</w:t>
            </w:r>
          </w:p>
          <w:p w14:paraId="0EE8B99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单晶体（或冰晶或纯净波）心脏相控阵探头（1.0-5.0MHz）</w:t>
            </w:r>
          </w:p>
          <w:p w14:paraId="75846B5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单晶体（或冰晶或纯净波）腔内探头（4-10MHz）</w:t>
            </w:r>
          </w:p>
          <w:p w14:paraId="6328062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高频线阵探头（9.0-16.0MHz）</w:t>
            </w:r>
          </w:p>
          <w:p w14:paraId="1AD7FAB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（十四）二维显像主要参数</w:t>
            </w:r>
          </w:p>
          <w:p w14:paraId="56B5DDE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14.1成像速度：相控阵探头，85°角,18CM深度时,帧速度≥58帧/秒</w:t>
            </w:r>
          </w:p>
          <w:p w14:paraId="3563C95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凸阵探头, 85°角,18CM深度时,帧速度≥45帧/秒</w:t>
            </w:r>
          </w:p>
          <w:p w14:paraId="1F17D49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扫描线：每帧线密度≥320超声线</w:t>
            </w:r>
          </w:p>
          <w:p w14:paraId="1D0B0A4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▲14.2 增益调节：TGC增益补偿≥8 段，LGC侧向增益补偿≥8 段，B/M 可独立调节</w:t>
            </w:r>
          </w:p>
          <w:p w14:paraId="61E5C64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14.3 高分辨率放大：放大时增加信息量，提高分辨率及帧率</w:t>
            </w:r>
          </w:p>
          <w:p w14:paraId="22FB775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（十五）频谱多普勒：</w:t>
            </w:r>
          </w:p>
          <w:p w14:paraId="4000F2F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15.1 最大测量速度：PWD正或反向血流速度：≥ 10.0 m/s（0度夹角）；CWD:血流速度≥28.0m/s</w:t>
            </w:r>
          </w:p>
          <w:p w14:paraId="6BB6E4D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15.2 最低测量速度：≤ 0.25mm/s (非噪音信号)；</w:t>
            </w:r>
          </w:p>
          <w:p w14:paraId="040CA5F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15.3 Doppler及M型电影回放：≥48 秒</w:t>
            </w:r>
          </w:p>
          <w:p w14:paraId="7FC2019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15.3 滤波器：高通滤波或低通滤波两种，分级选择</w:t>
            </w:r>
          </w:p>
          <w:p w14:paraId="3EF6FC2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15.4 取样宽度及位置范围：宽度 0.5mm至20mm多级可调</w:t>
            </w:r>
          </w:p>
          <w:p w14:paraId="1CBB799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15.5 零位移动：≥9 级</w:t>
            </w:r>
          </w:p>
          <w:p w14:paraId="6C02A52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15.6显示控制：反转显示 (上/下)、零移位、B-刷新、D 扩展、B/D 扩展，局放及移位</w:t>
            </w:r>
          </w:p>
          <w:p w14:paraId="3B9CB6C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15.7 实时自动包络频谱并完成频谱测量计算</w:t>
            </w:r>
          </w:p>
          <w:p w14:paraId="7E5E8F2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val="en-US" w:eastAsia="zh-CN"/>
              </w:rPr>
              <w:t>16</w:t>
            </w:r>
            <w:r>
              <w:rPr>
                <w:rFonts w:hint="eastAsia" w:ascii="宋体" w:hAnsi="宋体" w:eastAsia="宋体" w:cs="Arial"/>
                <w:color w:val="auto"/>
                <w:kern w:val="0"/>
                <w:sz w:val="24"/>
                <w:szCs w:val="24"/>
                <w:highlight w:val="none"/>
              </w:rPr>
              <w:t>.配套设施设备：空气消毒机1台</w:t>
            </w:r>
          </w:p>
        </w:tc>
        <w:tc>
          <w:tcPr>
            <w:tcW w:w="454" w:type="pct"/>
            <w:tcBorders>
              <w:top w:val="single" w:color="auto" w:sz="4" w:space="0"/>
              <w:left w:val="nil"/>
              <w:bottom w:val="single" w:color="auto" w:sz="4" w:space="0"/>
              <w:right w:val="single" w:color="auto" w:sz="4" w:space="0"/>
            </w:tcBorders>
            <w:shd w:val="clear" w:color="auto" w:fill="FFFFFF"/>
            <w:vAlign w:val="center"/>
          </w:tcPr>
          <w:p w14:paraId="27E91329">
            <w:pPr>
              <w:widowControl/>
              <w:tabs>
                <w:tab w:val="left" w:pos="900"/>
              </w:tabs>
              <w:jc w:val="center"/>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套</w:t>
            </w:r>
          </w:p>
        </w:tc>
        <w:tc>
          <w:tcPr>
            <w:tcW w:w="454" w:type="pct"/>
            <w:tcBorders>
              <w:top w:val="single" w:color="auto" w:sz="4" w:space="0"/>
              <w:left w:val="nil"/>
              <w:bottom w:val="single" w:color="auto" w:sz="4" w:space="0"/>
              <w:right w:val="single" w:color="auto" w:sz="4" w:space="0"/>
            </w:tcBorders>
            <w:shd w:val="clear" w:color="auto" w:fill="FFFFFF"/>
            <w:vAlign w:val="center"/>
          </w:tcPr>
          <w:p w14:paraId="3E53F940">
            <w:pPr>
              <w:widowControl/>
              <w:tabs>
                <w:tab w:val="left" w:pos="900"/>
              </w:tabs>
              <w:jc w:val="center"/>
              <w:textAlignment w:val="center"/>
              <w:rPr>
                <w:rFonts w:hint="default" w:ascii="宋体" w:hAnsi="宋体" w:eastAsia="宋体" w:cs="Arial"/>
                <w:color w:val="auto"/>
                <w:kern w:val="0"/>
                <w:sz w:val="24"/>
                <w:szCs w:val="24"/>
                <w:highlight w:val="none"/>
                <w:lang w:val="en-US" w:eastAsia="zh-CN"/>
              </w:rPr>
            </w:pPr>
            <w:r>
              <w:rPr>
                <w:rFonts w:hint="eastAsia" w:ascii="宋体" w:hAnsi="宋体" w:eastAsia="宋体" w:cs="Arial"/>
                <w:color w:val="auto"/>
                <w:kern w:val="0"/>
                <w:sz w:val="24"/>
                <w:szCs w:val="24"/>
                <w:highlight w:val="none"/>
                <w:lang w:val="en-US" w:eastAsia="zh-CN"/>
              </w:rPr>
              <w:t>1</w:t>
            </w:r>
          </w:p>
        </w:tc>
        <w:tc>
          <w:tcPr>
            <w:tcW w:w="618" w:type="pct"/>
            <w:tcBorders>
              <w:top w:val="single" w:color="auto" w:sz="4" w:space="0"/>
              <w:left w:val="nil"/>
              <w:bottom w:val="single" w:color="auto" w:sz="4" w:space="0"/>
              <w:right w:val="single" w:color="auto" w:sz="4" w:space="0"/>
            </w:tcBorders>
            <w:vAlign w:val="center"/>
          </w:tcPr>
          <w:p w14:paraId="03BBC841">
            <w:pPr>
              <w:widowControl/>
              <w:jc w:val="center"/>
              <w:rPr>
                <w:rFonts w:hint="eastAsia" w:ascii="宋体" w:hAnsi="宋体" w:eastAsia="宋体" w:cs="Arial"/>
                <w:color w:val="auto"/>
                <w:kern w:val="0"/>
                <w:sz w:val="24"/>
                <w:szCs w:val="24"/>
                <w:highlight w:val="none"/>
                <w:lang w:val="en-US" w:eastAsia="zh-CN"/>
              </w:rPr>
            </w:pPr>
            <w:r>
              <w:rPr>
                <w:rFonts w:hint="eastAsia" w:ascii="宋体" w:hAnsi="宋体" w:eastAsia="宋体" w:cs="Arial"/>
                <w:color w:val="auto"/>
                <w:kern w:val="0"/>
                <w:sz w:val="24"/>
                <w:szCs w:val="24"/>
                <w:highlight w:val="none"/>
                <w:lang w:val="en-US" w:eastAsia="zh-CN"/>
              </w:rPr>
              <w:t>否</w:t>
            </w:r>
          </w:p>
        </w:tc>
      </w:tr>
    </w:tbl>
    <w:p w14:paraId="3761AF3A">
      <w:pPr>
        <w:spacing w:line="360" w:lineRule="auto"/>
        <w:rPr>
          <w:rFonts w:hint="eastAsia" w:ascii="宋体" w:hAnsi="宋体" w:eastAsia="宋体" w:cs="宋体"/>
          <w:bCs/>
          <w:color w:val="auto"/>
          <w:sz w:val="24"/>
          <w:szCs w:val="24"/>
          <w:highlight w:val="none"/>
        </w:rPr>
      </w:pPr>
    </w:p>
    <w:p w14:paraId="14F257B5">
      <w:pPr>
        <w:keepNext w:val="0"/>
        <w:keepLines w:val="0"/>
        <w:pageBreakBefore/>
        <w:widowControl w:val="0"/>
        <w:kinsoku/>
        <w:wordWrap/>
        <w:overflowPunct/>
        <w:topLinePunct w:val="0"/>
        <w:autoSpaceDE/>
        <w:autoSpaceDN/>
        <w:bidi w:val="0"/>
        <w:adjustRightInd/>
        <w:snapToGrid/>
        <w:spacing w:line="360" w:lineRule="auto"/>
        <w:ind w:firstLine="437"/>
        <w:textAlignment w:val="auto"/>
        <w:outlineLvl w:val="2"/>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0</w:t>
      </w: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包：</w:t>
      </w:r>
    </w:p>
    <w:tbl>
      <w:tblPr>
        <w:tblStyle w:val="2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5"/>
        <w:gridCol w:w="1442"/>
        <w:gridCol w:w="3882"/>
        <w:gridCol w:w="774"/>
        <w:gridCol w:w="774"/>
        <w:gridCol w:w="1055"/>
      </w:tblGrid>
      <w:tr w14:paraId="7C8B4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9" w:type="pct"/>
            <w:tcBorders>
              <w:top w:val="single" w:color="auto" w:sz="4" w:space="0"/>
              <w:left w:val="single" w:color="auto" w:sz="4" w:space="0"/>
              <w:bottom w:val="single" w:color="auto" w:sz="4" w:space="0"/>
              <w:right w:val="single" w:color="auto" w:sz="4" w:space="0"/>
            </w:tcBorders>
            <w:shd w:val="clear" w:color="auto" w:fill="FFFFFF"/>
            <w:vAlign w:val="center"/>
          </w:tcPr>
          <w:p w14:paraId="1DB80203">
            <w:pPr>
              <w:widowControl/>
              <w:tabs>
                <w:tab w:val="left" w:pos="420"/>
                <w:tab w:val="left" w:pos="900"/>
              </w:tabs>
              <w:jc w:val="center"/>
              <w:rPr>
                <w:rFonts w:hint="eastAsia" w:ascii="宋体" w:hAnsi="宋体" w:eastAsia="宋体" w:cs="Arial"/>
                <w:b/>
                <w:bCs/>
                <w:color w:val="auto"/>
                <w:kern w:val="0"/>
                <w:sz w:val="24"/>
                <w:szCs w:val="24"/>
                <w:highlight w:val="none"/>
              </w:rPr>
            </w:pPr>
            <w:r>
              <w:rPr>
                <w:rFonts w:hint="eastAsia" w:ascii="宋体" w:hAnsi="宋体" w:eastAsia="宋体" w:cs="Arial"/>
                <w:b/>
                <w:bCs/>
                <w:color w:val="auto"/>
                <w:kern w:val="0"/>
                <w:sz w:val="24"/>
                <w:szCs w:val="24"/>
                <w:highlight w:val="none"/>
              </w:rPr>
              <w:t>序号</w:t>
            </w:r>
          </w:p>
        </w:tc>
        <w:tc>
          <w:tcPr>
            <w:tcW w:w="846" w:type="pct"/>
            <w:tcBorders>
              <w:top w:val="single" w:color="auto" w:sz="4" w:space="0"/>
              <w:left w:val="nil"/>
              <w:bottom w:val="single" w:color="auto" w:sz="4" w:space="0"/>
              <w:right w:val="single" w:color="auto" w:sz="4" w:space="0"/>
            </w:tcBorders>
            <w:shd w:val="clear" w:color="auto" w:fill="FFFFFF"/>
            <w:vAlign w:val="center"/>
          </w:tcPr>
          <w:p w14:paraId="6624B2B2">
            <w:pPr>
              <w:widowControl/>
              <w:tabs>
                <w:tab w:val="left" w:pos="420"/>
                <w:tab w:val="left" w:pos="900"/>
              </w:tabs>
              <w:jc w:val="center"/>
              <w:rPr>
                <w:rFonts w:hint="eastAsia" w:ascii="宋体" w:hAnsi="宋体" w:eastAsia="宋体" w:cs="Arial"/>
                <w:b/>
                <w:bCs/>
                <w:color w:val="auto"/>
                <w:kern w:val="0"/>
                <w:sz w:val="24"/>
                <w:szCs w:val="24"/>
                <w:highlight w:val="none"/>
              </w:rPr>
            </w:pPr>
            <w:r>
              <w:rPr>
                <w:rFonts w:hint="eastAsia" w:ascii="宋体" w:hAnsi="宋体" w:eastAsia="宋体" w:cs="Arial"/>
                <w:b/>
                <w:bCs/>
                <w:color w:val="auto"/>
                <w:kern w:val="0"/>
                <w:sz w:val="24"/>
                <w:szCs w:val="24"/>
                <w:highlight w:val="none"/>
              </w:rPr>
              <w:t>货物名称</w:t>
            </w:r>
          </w:p>
        </w:tc>
        <w:tc>
          <w:tcPr>
            <w:tcW w:w="2277" w:type="pct"/>
            <w:tcBorders>
              <w:top w:val="single" w:color="auto" w:sz="4" w:space="0"/>
              <w:left w:val="nil"/>
              <w:bottom w:val="single" w:color="auto" w:sz="4" w:space="0"/>
              <w:right w:val="single" w:color="auto" w:sz="4" w:space="0"/>
            </w:tcBorders>
            <w:shd w:val="clear" w:color="auto" w:fill="FFFFFF"/>
            <w:vAlign w:val="center"/>
          </w:tcPr>
          <w:p w14:paraId="2B58A09D">
            <w:pPr>
              <w:widowControl/>
              <w:tabs>
                <w:tab w:val="left" w:pos="420"/>
                <w:tab w:val="left" w:pos="900"/>
              </w:tabs>
              <w:jc w:val="center"/>
              <w:rPr>
                <w:rFonts w:hint="eastAsia" w:ascii="宋体" w:hAnsi="宋体" w:eastAsia="宋体" w:cs="Arial"/>
                <w:b/>
                <w:bCs/>
                <w:color w:val="auto"/>
                <w:kern w:val="0"/>
                <w:sz w:val="24"/>
                <w:szCs w:val="24"/>
                <w:highlight w:val="none"/>
              </w:rPr>
            </w:pPr>
            <w:r>
              <w:rPr>
                <w:rFonts w:hint="eastAsia" w:ascii="宋体" w:hAnsi="宋体" w:eastAsia="宋体" w:cs="Arial"/>
                <w:b/>
                <w:bCs/>
                <w:color w:val="auto"/>
                <w:kern w:val="0"/>
                <w:sz w:val="24"/>
                <w:szCs w:val="24"/>
                <w:highlight w:val="none"/>
              </w:rPr>
              <w:t>技术参数及要求</w:t>
            </w:r>
          </w:p>
        </w:tc>
        <w:tc>
          <w:tcPr>
            <w:tcW w:w="454" w:type="pct"/>
            <w:tcBorders>
              <w:top w:val="single" w:color="auto" w:sz="4" w:space="0"/>
              <w:left w:val="nil"/>
              <w:bottom w:val="single" w:color="auto" w:sz="4" w:space="0"/>
              <w:right w:val="single" w:color="auto" w:sz="4" w:space="0"/>
            </w:tcBorders>
            <w:shd w:val="clear" w:color="auto" w:fill="FFFFFF"/>
            <w:vAlign w:val="center"/>
          </w:tcPr>
          <w:p w14:paraId="31E6C06F">
            <w:pPr>
              <w:widowControl/>
              <w:tabs>
                <w:tab w:val="left" w:pos="420"/>
                <w:tab w:val="left" w:pos="900"/>
              </w:tabs>
              <w:jc w:val="center"/>
              <w:rPr>
                <w:rFonts w:hint="eastAsia" w:ascii="宋体" w:hAnsi="宋体" w:eastAsia="宋体" w:cs="Arial"/>
                <w:b/>
                <w:bCs/>
                <w:color w:val="auto"/>
                <w:kern w:val="0"/>
                <w:sz w:val="24"/>
                <w:szCs w:val="24"/>
                <w:highlight w:val="none"/>
              </w:rPr>
            </w:pPr>
            <w:r>
              <w:rPr>
                <w:rFonts w:hint="eastAsia" w:ascii="宋体" w:hAnsi="宋体" w:eastAsia="宋体" w:cs="Arial"/>
                <w:b/>
                <w:bCs/>
                <w:color w:val="auto"/>
                <w:kern w:val="0"/>
                <w:sz w:val="24"/>
                <w:szCs w:val="24"/>
                <w:highlight w:val="none"/>
              </w:rPr>
              <w:t>单位</w:t>
            </w:r>
          </w:p>
        </w:tc>
        <w:tc>
          <w:tcPr>
            <w:tcW w:w="454" w:type="pct"/>
            <w:tcBorders>
              <w:top w:val="single" w:color="auto" w:sz="4" w:space="0"/>
              <w:left w:val="nil"/>
              <w:bottom w:val="single" w:color="auto" w:sz="4" w:space="0"/>
              <w:right w:val="single" w:color="auto" w:sz="4" w:space="0"/>
            </w:tcBorders>
            <w:shd w:val="clear" w:color="auto" w:fill="FFFFFF"/>
            <w:vAlign w:val="center"/>
          </w:tcPr>
          <w:p w14:paraId="31591C59">
            <w:pPr>
              <w:widowControl/>
              <w:tabs>
                <w:tab w:val="left" w:pos="420"/>
                <w:tab w:val="left" w:pos="900"/>
              </w:tabs>
              <w:jc w:val="center"/>
              <w:rPr>
                <w:rFonts w:hint="eastAsia" w:ascii="宋体" w:hAnsi="宋体" w:eastAsia="宋体" w:cs="Arial"/>
                <w:b/>
                <w:bCs/>
                <w:color w:val="auto"/>
                <w:kern w:val="0"/>
                <w:sz w:val="24"/>
                <w:szCs w:val="24"/>
                <w:highlight w:val="none"/>
              </w:rPr>
            </w:pPr>
            <w:r>
              <w:rPr>
                <w:rFonts w:hint="eastAsia" w:ascii="宋体" w:hAnsi="宋体" w:eastAsia="宋体" w:cs="Arial"/>
                <w:b/>
                <w:bCs/>
                <w:color w:val="auto"/>
                <w:kern w:val="0"/>
                <w:sz w:val="24"/>
                <w:szCs w:val="24"/>
                <w:highlight w:val="none"/>
              </w:rPr>
              <w:t>采购数量</w:t>
            </w:r>
          </w:p>
        </w:tc>
        <w:tc>
          <w:tcPr>
            <w:tcW w:w="618" w:type="pct"/>
            <w:tcBorders>
              <w:top w:val="single" w:color="auto" w:sz="4" w:space="0"/>
              <w:left w:val="nil"/>
              <w:bottom w:val="single" w:color="auto" w:sz="4" w:space="0"/>
              <w:right w:val="single" w:color="auto" w:sz="4" w:space="0"/>
            </w:tcBorders>
            <w:shd w:val="clear" w:color="auto" w:fill="FFFFFF"/>
            <w:vAlign w:val="center"/>
          </w:tcPr>
          <w:p w14:paraId="2B99585F">
            <w:pPr>
              <w:widowControl/>
              <w:tabs>
                <w:tab w:val="left" w:pos="420"/>
                <w:tab w:val="left" w:pos="900"/>
              </w:tabs>
              <w:jc w:val="center"/>
              <w:rPr>
                <w:rFonts w:hint="eastAsia" w:ascii="宋体" w:hAnsi="宋体" w:eastAsia="宋体" w:cs="Arial"/>
                <w:b/>
                <w:bCs/>
                <w:color w:val="auto"/>
                <w:kern w:val="0"/>
                <w:sz w:val="24"/>
                <w:szCs w:val="24"/>
                <w:highlight w:val="none"/>
              </w:rPr>
            </w:pPr>
            <w:r>
              <w:rPr>
                <w:rFonts w:hint="eastAsia" w:ascii="宋体" w:hAnsi="宋体" w:eastAsia="宋体" w:cs="Arial"/>
                <w:b/>
                <w:bCs/>
                <w:color w:val="auto"/>
                <w:kern w:val="0"/>
                <w:sz w:val="24"/>
                <w:szCs w:val="24"/>
                <w:highlight w:val="none"/>
              </w:rPr>
              <w:t>是否为核心产品</w:t>
            </w:r>
          </w:p>
        </w:tc>
      </w:tr>
      <w:tr w14:paraId="0A786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9" w:type="pct"/>
            <w:tcBorders>
              <w:top w:val="single" w:color="auto" w:sz="4" w:space="0"/>
              <w:left w:val="single" w:color="auto" w:sz="4" w:space="0"/>
              <w:bottom w:val="single" w:color="auto" w:sz="4" w:space="0"/>
              <w:right w:val="single" w:color="auto" w:sz="4" w:space="0"/>
            </w:tcBorders>
            <w:shd w:val="clear" w:color="auto" w:fill="FFFFFF"/>
            <w:vAlign w:val="center"/>
          </w:tcPr>
          <w:p w14:paraId="2715C718">
            <w:pPr>
              <w:widowControl/>
              <w:tabs>
                <w:tab w:val="left" w:pos="420"/>
                <w:tab w:val="left" w:pos="900"/>
              </w:tabs>
              <w:jc w:val="center"/>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w:t>
            </w:r>
          </w:p>
        </w:tc>
        <w:tc>
          <w:tcPr>
            <w:tcW w:w="846" w:type="pct"/>
            <w:tcBorders>
              <w:top w:val="single" w:color="auto" w:sz="4" w:space="0"/>
              <w:left w:val="nil"/>
              <w:bottom w:val="single" w:color="auto" w:sz="4" w:space="0"/>
              <w:right w:val="single" w:color="auto" w:sz="4" w:space="0"/>
            </w:tcBorders>
            <w:shd w:val="clear" w:color="auto" w:fill="FFFFFF"/>
            <w:vAlign w:val="center"/>
          </w:tcPr>
          <w:p w14:paraId="2AACD3E3">
            <w:pPr>
              <w:widowControl/>
              <w:tabs>
                <w:tab w:val="left" w:pos="900"/>
              </w:tabs>
              <w:jc w:val="center"/>
              <w:textAlignment w:val="center"/>
              <w:rPr>
                <w:rFonts w:hint="eastAsia" w:ascii="宋体" w:hAnsi="宋体" w:eastAsia="宋体" w:cs="Arial"/>
                <w:color w:val="auto"/>
                <w:kern w:val="0"/>
                <w:sz w:val="24"/>
                <w:szCs w:val="24"/>
                <w:highlight w:val="none"/>
                <w:lang w:eastAsia="zh-CN"/>
              </w:rPr>
            </w:pPr>
            <w:r>
              <w:rPr>
                <w:rFonts w:hint="eastAsia" w:ascii="宋体" w:hAnsi="宋体" w:eastAsia="宋体" w:cs="Arial"/>
                <w:color w:val="auto"/>
                <w:kern w:val="0"/>
                <w:sz w:val="24"/>
                <w:szCs w:val="24"/>
                <w:highlight w:val="none"/>
              </w:rPr>
              <w:t>彩超（便携</w:t>
            </w:r>
            <w:r>
              <w:rPr>
                <w:rFonts w:hint="eastAsia" w:ascii="宋体" w:hAnsi="宋体" w:eastAsia="宋体" w:cs="Arial"/>
                <w:color w:val="auto"/>
                <w:kern w:val="0"/>
                <w:sz w:val="24"/>
                <w:szCs w:val="24"/>
                <w:highlight w:val="none"/>
                <w:lang w:eastAsia="zh-CN"/>
              </w:rPr>
              <w:t>）</w:t>
            </w:r>
          </w:p>
        </w:tc>
        <w:tc>
          <w:tcPr>
            <w:tcW w:w="2277" w:type="pct"/>
            <w:tcBorders>
              <w:top w:val="single" w:color="auto" w:sz="4" w:space="0"/>
              <w:left w:val="nil"/>
              <w:bottom w:val="single" w:color="auto" w:sz="4" w:space="0"/>
              <w:right w:val="single" w:color="auto" w:sz="4" w:space="0"/>
            </w:tcBorders>
            <w:shd w:val="clear" w:color="auto" w:fill="FFFFFF"/>
            <w:vAlign w:val="center"/>
          </w:tcPr>
          <w:p w14:paraId="350950E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▲一、用途：腹部、心脏、妇产科、泌尿科、肌骨、新生儿、术中、介入、血管、浅表组织与小器官。</w:t>
            </w:r>
          </w:p>
          <w:p w14:paraId="424F47F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二、技术要求：</w:t>
            </w:r>
          </w:p>
          <w:p w14:paraId="48A8930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1.1笔记本式彩色多普勒超声波诊断仪包括：</w:t>
            </w:r>
          </w:p>
          <w:p w14:paraId="225AAFE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2.1.1≥15英寸高清晰度彩色液晶显示器</w:t>
            </w:r>
          </w:p>
          <w:p w14:paraId="426BD0E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2.1.2数字化二维灰阶成像单元</w:t>
            </w:r>
          </w:p>
          <w:p w14:paraId="18A899A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2.1.3数字化彩色及能量多普勒单元</w:t>
            </w:r>
          </w:p>
          <w:p w14:paraId="24287AF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2.1.4数字化频谱多普勒显示和分析单元</w:t>
            </w:r>
          </w:p>
          <w:p w14:paraId="4C13E06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2.1.5多角度空间复合成像技术</w:t>
            </w:r>
          </w:p>
          <w:p w14:paraId="0763897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2.1.6智能化斑点噪声抑制技术</w:t>
            </w:r>
          </w:p>
          <w:p w14:paraId="39FFB92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2.1.7自动优化功能</w:t>
            </w:r>
          </w:p>
          <w:p w14:paraId="05458F7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2.1.8实时宽景成像技术</w:t>
            </w:r>
          </w:p>
          <w:p w14:paraId="4DC881D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2.1.9实时同屏教学软件</w:t>
            </w:r>
          </w:p>
          <w:p w14:paraId="4464929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2.1.10M模式,具备彩色M模式及解剖M模式</w:t>
            </w:r>
          </w:p>
          <w:p w14:paraId="440794E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2.1.11主机上实现实时及脱机状态M型扫描线可以以任意点为轴心360°旋转</w:t>
            </w:r>
          </w:p>
          <w:p w14:paraId="2F86A7E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2.1.12自适应彩色增强技术(可自动滤除运动伪影)</w:t>
            </w:r>
          </w:p>
          <w:p w14:paraId="414ED28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2.1.13编码脉冲反相二次谐波成像（可用于所有探头）</w:t>
            </w:r>
          </w:p>
          <w:p w14:paraId="6732040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2.1.14整机重量≤4.6公斤（含电池）</w:t>
            </w:r>
          </w:p>
          <w:p w14:paraId="037E235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▲2.1.15物理通道数≥128</w:t>
            </w:r>
          </w:p>
          <w:p w14:paraId="019573C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2.1.17可视可调系统动态范围≥90db</w:t>
            </w:r>
          </w:p>
          <w:p w14:paraId="4954C8C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2.1.18超声系统最大探查深度≥33CM</w:t>
            </w:r>
          </w:p>
          <w:p w14:paraId="021DD9B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2.1.19实时三同步成像</w:t>
            </w:r>
          </w:p>
          <w:p w14:paraId="1BC5686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2.1.20线阵探头凸型扩展技术</w:t>
            </w:r>
          </w:p>
          <w:p w14:paraId="715EE45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2.1.21自动射血分数测量功能</w:t>
            </w:r>
          </w:p>
          <w:p w14:paraId="2459AE8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2.1.22穿刺针增强功能，且穿刺针增益可实时调节</w:t>
            </w:r>
          </w:p>
          <w:p w14:paraId="775585B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2.1.23AUTO IMT颈动脉中内膜测量技术</w:t>
            </w:r>
          </w:p>
          <w:p w14:paraId="71C60F1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2.1.24轨迹球操作</w:t>
            </w:r>
          </w:p>
          <w:p w14:paraId="4F8550E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2.1.25中文操作界面,中文输入（包括报告、注释等）</w:t>
            </w:r>
          </w:p>
          <w:p w14:paraId="4B34791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2.1.26支持线阵应变式弹性成像</w:t>
            </w:r>
          </w:p>
          <w:p w14:paraId="6555E1C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2.1.27支持TVI/TVD 组织多普勒</w:t>
            </w:r>
          </w:p>
          <w:p w14:paraId="280A657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2.2测量和分析：(B型、M型、彩色M型、频谱多普勒、彩色模式)</w:t>
            </w:r>
          </w:p>
          <w:p w14:paraId="0859F21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2.2.1一般测量</w:t>
            </w:r>
          </w:p>
          <w:p w14:paraId="3F91D0D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2.2.2妇产科测量（包括孕期、预产期、胎重的分析及显示，胎儿生长曲线（单幅和多幅同时显示）、多数据对比图、子宫卵巢和卵泡的测量和计算以及全面的可编辑的报告功能）</w:t>
            </w:r>
          </w:p>
          <w:p w14:paraId="3E97132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2.2.3多普勒血流测量与分析</w:t>
            </w:r>
          </w:p>
          <w:p w14:paraId="5ACB96E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2.2.4实时多普勒自动包络、测量和计算</w:t>
            </w:r>
          </w:p>
          <w:p w14:paraId="6CB5FD5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2.2.5心脏功能测量以及各瓣膜功能的测量、分析及报告</w:t>
            </w:r>
          </w:p>
          <w:p w14:paraId="3507845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2.2.6外周血管测量与分析</w:t>
            </w:r>
          </w:p>
          <w:p w14:paraId="0828120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2.2.7泌尿科测量与分析</w:t>
            </w:r>
          </w:p>
          <w:p w14:paraId="606D4F9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2.3一体化图像存储与(电影)回放重现及病案管理单元</w:t>
            </w:r>
          </w:p>
          <w:p w14:paraId="46B5EB0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2.4一体化的剪贴板(在荧光屏上)可以存储和回放动态及静态图像</w:t>
            </w:r>
          </w:p>
          <w:p w14:paraId="238DF67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2.5内置固态硬盘≥512GB</w:t>
            </w:r>
          </w:p>
          <w:p w14:paraId="3C68739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2.6DVD 驱动器</w:t>
            </w:r>
          </w:p>
          <w:p w14:paraId="73A6F27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三、探头规格及其他</w:t>
            </w:r>
          </w:p>
          <w:p w14:paraId="79C39B7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3.1探头类型：支持凸阵，线阵，相控阵,经食道探头，经腔内探头</w:t>
            </w:r>
          </w:p>
          <w:p w14:paraId="04F2BF1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3.2标配3把探头：</w:t>
            </w:r>
          </w:p>
          <w:p w14:paraId="4EACA71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3.2.1电子凸阵（1把）：探头频带范围2.0-5.0MHz</w:t>
            </w:r>
          </w:p>
          <w:p w14:paraId="4188090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3.2.2电子线阵（1把）：探头频带范围6-12MHz，</w:t>
            </w:r>
          </w:p>
          <w:p w14:paraId="4EDBCCF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3.2.3电子相控阵（1把）：探头频带范围2.0-4.0MHz</w:t>
            </w:r>
          </w:p>
          <w:p w14:paraId="52F1964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3.2.4凸阵探头有效阵元数≥192阵元</w:t>
            </w:r>
          </w:p>
          <w:p w14:paraId="3907BCF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▲3.2.5线阵探头具备可自定义按键，按键数量≥4</w:t>
            </w:r>
          </w:p>
          <w:p w14:paraId="7097ED2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▲3.2.6相控阵探头最大扩展角度≥120°</w:t>
            </w:r>
          </w:p>
          <w:p w14:paraId="24B320F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3.2.7扫描速率：B模式凸阵探头全视野，18cm深度时，帧速率≥50帧/秒</w:t>
            </w:r>
          </w:p>
          <w:p w14:paraId="350D4EA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3.2.8扫描速率:  B模式相控阵探头90度，18cm深度时，帧速率≥40 帧/秒</w:t>
            </w:r>
          </w:p>
          <w:p w14:paraId="75F8110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3.2.9可支持线阵探头≥5</w:t>
            </w:r>
          </w:p>
          <w:p w14:paraId="2AF7AFB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3.2.10预设条件：针对不同的检查脏器，预置最佳化图像的检查条件， 减少操作时的调节，及常用所需的外部调节及组合调节。</w:t>
            </w:r>
          </w:p>
          <w:p w14:paraId="32E3F6E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3.2.11 TGC调节≥6段</w:t>
            </w:r>
          </w:p>
          <w:p w14:paraId="0190C18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3.3频谱多普勒：</w:t>
            </w:r>
          </w:p>
          <w:p w14:paraId="67FD761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3.3.1最大测量速度：</w:t>
            </w:r>
          </w:p>
          <w:p w14:paraId="5526804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PWD：血流速度≥8.0 m/s</w:t>
            </w:r>
          </w:p>
          <w:p w14:paraId="1C8668A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 xml:space="preserve"> CWD: 血流速度≥14.0 m/s</w:t>
            </w:r>
          </w:p>
          <w:p w14:paraId="76E7A65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PW最低测量速度5mm/s</w:t>
            </w:r>
          </w:p>
          <w:p w14:paraId="5CB88FD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3.3.2显示方式：B、M、B/M、B/M/CFI、B/D、D、B/CFI/D</w:t>
            </w:r>
          </w:p>
          <w:p w14:paraId="3C69A63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3.3.3取样宽度及位置范围：宽度1mm至16mm；分级</w:t>
            </w:r>
          </w:p>
        </w:tc>
        <w:tc>
          <w:tcPr>
            <w:tcW w:w="454" w:type="pct"/>
            <w:tcBorders>
              <w:top w:val="single" w:color="auto" w:sz="4" w:space="0"/>
              <w:left w:val="nil"/>
              <w:bottom w:val="single" w:color="auto" w:sz="4" w:space="0"/>
              <w:right w:val="single" w:color="auto" w:sz="4" w:space="0"/>
            </w:tcBorders>
            <w:shd w:val="clear" w:color="auto" w:fill="FFFFFF"/>
            <w:vAlign w:val="center"/>
          </w:tcPr>
          <w:p w14:paraId="4F52BEC2">
            <w:pPr>
              <w:widowControl/>
              <w:tabs>
                <w:tab w:val="left" w:pos="900"/>
              </w:tabs>
              <w:jc w:val="center"/>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套</w:t>
            </w:r>
          </w:p>
        </w:tc>
        <w:tc>
          <w:tcPr>
            <w:tcW w:w="454" w:type="pct"/>
            <w:tcBorders>
              <w:top w:val="single" w:color="auto" w:sz="4" w:space="0"/>
              <w:left w:val="nil"/>
              <w:bottom w:val="single" w:color="auto" w:sz="4" w:space="0"/>
              <w:right w:val="single" w:color="auto" w:sz="4" w:space="0"/>
            </w:tcBorders>
            <w:shd w:val="clear" w:color="auto" w:fill="FFFFFF"/>
            <w:vAlign w:val="center"/>
          </w:tcPr>
          <w:p w14:paraId="422A96D5">
            <w:pPr>
              <w:widowControl/>
              <w:tabs>
                <w:tab w:val="left" w:pos="900"/>
              </w:tabs>
              <w:jc w:val="center"/>
              <w:textAlignment w:val="center"/>
              <w:rPr>
                <w:rFonts w:hint="eastAsia" w:ascii="宋体" w:hAnsi="宋体" w:eastAsia="宋体" w:cs="Arial"/>
                <w:color w:val="auto"/>
                <w:kern w:val="0"/>
                <w:sz w:val="24"/>
                <w:szCs w:val="24"/>
                <w:highlight w:val="none"/>
                <w:lang w:eastAsia="zh-CN"/>
              </w:rPr>
            </w:pPr>
            <w:r>
              <w:rPr>
                <w:rFonts w:hint="eastAsia" w:ascii="宋体" w:hAnsi="宋体" w:eastAsia="宋体" w:cs="Arial"/>
                <w:color w:val="auto"/>
                <w:kern w:val="0"/>
                <w:sz w:val="24"/>
                <w:szCs w:val="24"/>
                <w:highlight w:val="none"/>
                <w:lang w:val="en-US" w:eastAsia="zh-CN"/>
              </w:rPr>
              <w:t>1</w:t>
            </w:r>
          </w:p>
        </w:tc>
        <w:tc>
          <w:tcPr>
            <w:tcW w:w="618" w:type="pct"/>
            <w:tcBorders>
              <w:top w:val="single" w:color="auto" w:sz="4" w:space="0"/>
              <w:left w:val="nil"/>
              <w:bottom w:val="single" w:color="auto" w:sz="4" w:space="0"/>
              <w:right w:val="single" w:color="auto" w:sz="4" w:space="0"/>
            </w:tcBorders>
            <w:vAlign w:val="center"/>
          </w:tcPr>
          <w:p w14:paraId="7505674B">
            <w:pPr>
              <w:widowControl/>
              <w:jc w:val="center"/>
              <w:rPr>
                <w:rFonts w:hint="eastAsia" w:ascii="宋体" w:hAnsi="宋体" w:eastAsia="宋体" w:cs="Arial"/>
                <w:color w:val="auto"/>
                <w:kern w:val="0"/>
                <w:sz w:val="24"/>
                <w:szCs w:val="24"/>
                <w:highlight w:val="none"/>
                <w:lang w:val="en-US" w:eastAsia="zh-CN"/>
              </w:rPr>
            </w:pPr>
            <w:r>
              <w:rPr>
                <w:rFonts w:hint="eastAsia" w:ascii="宋体" w:hAnsi="宋体" w:eastAsia="宋体" w:cs="Arial"/>
                <w:color w:val="auto"/>
                <w:kern w:val="0"/>
                <w:sz w:val="24"/>
                <w:szCs w:val="24"/>
                <w:highlight w:val="none"/>
                <w:lang w:val="en-US" w:eastAsia="zh-CN"/>
              </w:rPr>
              <w:t>否</w:t>
            </w:r>
          </w:p>
        </w:tc>
      </w:tr>
      <w:tr w14:paraId="1990A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9" w:type="pct"/>
            <w:tcBorders>
              <w:top w:val="single" w:color="auto" w:sz="4" w:space="0"/>
              <w:left w:val="single" w:color="auto" w:sz="4" w:space="0"/>
              <w:bottom w:val="single" w:color="auto" w:sz="4" w:space="0"/>
              <w:right w:val="single" w:color="auto" w:sz="4" w:space="0"/>
            </w:tcBorders>
            <w:shd w:val="clear" w:color="auto" w:fill="FFFFFF"/>
            <w:vAlign w:val="center"/>
          </w:tcPr>
          <w:p w14:paraId="3FDB16DE">
            <w:pPr>
              <w:widowControl/>
              <w:tabs>
                <w:tab w:val="left" w:pos="420"/>
                <w:tab w:val="left" w:pos="900"/>
              </w:tabs>
              <w:jc w:val="center"/>
              <w:rPr>
                <w:rFonts w:hint="eastAsia" w:ascii="宋体" w:hAnsi="宋体" w:eastAsia="宋体" w:cs="Arial"/>
                <w:color w:val="auto"/>
                <w:kern w:val="0"/>
                <w:sz w:val="24"/>
                <w:szCs w:val="24"/>
                <w:highlight w:val="none"/>
                <w:lang w:val="en-US" w:eastAsia="zh-CN"/>
              </w:rPr>
            </w:pPr>
            <w:r>
              <w:rPr>
                <w:rFonts w:hint="eastAsia" w:ascii="宋体" w:hAnsi="宋体" w:eastAsia="宋体" w:cs="Arial"/>
                <w:color w:val="auto"/>
                <w:kern w:val="0"/>
                <w:sz w:val="24"/>
                <w:szCs w:val="24"/>
                <w:highlight w:val="none"/>
                <w:lang w:val="en-US" w:eastAsia="zh-CN"/>
              </w:rPr>
              <w:t>2</w:t>
            </w:r>
          </w:p>
        </w:tc>
        <w:tc>
          <w:tcPr>
            <w:tcW w:w="846" w:type="pct"/>
            <w:tcBorders>
              <w:top w:val="single" w:color="auto" w:sz="4" w:space="0"/>
              <w:left w:val="nil"/>
              <w:bottom w:val="single" w:color="auto" w:sz="4" w:space="0"/>
              <w:right w:val="single" w:color="auto" w:sz="4" w:space="0"/>
            </w:tcBorders>
            <w:shd w:val="clear" w:color="auto" w:fill="FFFFFF"/>
            <w:vAlign w:val="center"/>
          </w:tcPr>
          <w:p w14:paraId="1AE05E85">
            <w:pPr>
              <w:widowControl/>
              <w:tabs>
                <w:tab w:val="left" w:pos="900"/>
              </w:tabs>
              <w:jc w:val="center"/>
              <w:textAlignment w:val="center"/>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彩超（心脏及血管）</w:t>
            </w:r>
          </w:p>
        </w:tc>
        <w:tc>
          <w:tcPr>
            <w:tcW w:w="2277" w:type="pct"/>
            <w:tcBorders>
              <w:top w:val="single" w:color="auto" w:sz="4" w:space="0"/>
              <w:left w:val="nil"/>
              <w:bottom w:val="single" w:color="auto" w:sz="4" w:space="0"/>
              <w:right w:val="single" w:color="auto" w:sz="4" w:space="0"/>
            </w:tcBorders>
            <w:shd w:val="clear" w:color="auto" w:fill="FFFFFF"/>
            <w:vAlign w:val="center"/>
          </w:tcPr>
          <w:p w14:paraId="1A5B7B6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一、用途：以成人心脏、小儿心脏、新生儿心脏和胎儿心脏超声临床诊断应用和相关科研为主，支持实时二维和四维经胸和经食管超声心动图成像，覆盖外周血管、腹部、妇产科/盆腔、泌尿系统和前列腺、浅表组织与小器官、儿科、经颅超声、肌骨、体腔超声(经阴道/经直肠)、术中介入超声等检查全面应用。</w:t>
            </w:r>
          </w:p>
          <w:p w14:paraId="1513DAD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二、技术要求</w:t>
            </w:r>
          </w:p>
          <w:p w14:paraId="18E2F3D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2.1彩色多普勒超声波诊断仪包括：</w:t>
            </w:r>
          </w:p>
          <w:p w14:paraId="25A5056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2.1.1显示器≥23英寸，分辨率≥1920×1080</w:t>
            </w:r>
          </w:p>
          <w:p w14:paraId="0D3AFA4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2.1.2触摸屏≥12.0英寸</w:t>
            </w:r>
          </w:p>
          <w:p w14:paraId="5E7673F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2.1.3具备电动控制操作平台，可在上下/左右/前后范围内灵活调节</w:t>
            </w:r>
          </w:p>
          <w:p w14:paraId="11E3BA5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2.1.4具备原始数据处理能力：能对存储后的动静态图像进行增益、彩色显示、多普勒基线位置、时间轴快慢以及多普勒角度校正等参数的调节。</w:t>
            </w:r>
          </w:p>
          <w:p w14:paraId="70065FB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2.1.5具备超声信号动态宽波束发射与接收系统，采用整场空间像素成像原理成像，一次性成像，无需调节焦点位置和数目，图像区域无聚焦点或聚焦带。</w:t>
            </w:r>
          </w:p>
          <w:p w14:paraId="651A131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2.1.6具备智能像素优化技术：提高图像整体空间分辨率、对比分辨率和信噪比。</w:t>
            </w:r>
          </w:p>
          <w:p w14:paraId="167EA7B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2.1.7具备特殊探头技术：具有面阵技术、声能放大、单晶体以及精准温控探头技术</w:t>
            </w:r>
          </w:p>
          <w:p w14:paraId="2929449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声波自适应校正：智能矫正由患者体内自然存在的声速不均匀性引起的超声波失真的功能</w:t>
            </w:r>
          </w:p>
          <w:p w14:paraId="75B452A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2.1.8二维灰阶成像单元</w:t>
            </w:r>
          </w:p>
          <w:p w14:paraId="4AB0386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2.1.8.1所有探头均为宽频、多点变频探头，基波频率、基波与谐波成像频率必须具体在屏幕上显示。</w:t>
            </w:r>
          </w:p>
          <w:p w14:paraId="68ED5DD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2.1.8.2具备超清斑点噪声抑制技术，支持二维和四维模式</w:t>
            </w:r>
          </w:p>
          <w:p w14:paraId="589C2B3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2.1.8.3具备实时空间多角度复合成像，并支持彩色多普勒模式。</w:t>
            </w:r>
          </w:p>
          <w:p w14:paraId="5DCD388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2.1.8.4具备心肌纹理成像模式：可增强瓣膜，腱索及心肌等细节结构的显示能力，该模式可叠加彩色信号，支持实时在机激活切换，支持成人经胸二维和四维探头。</w:t>
            </w:r>
          </w:p>
          <w:p w14:paraId="60530B9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2.1.8.5具备高清成像模式：通过双频率复合采集，提高组织分辨率和对比度。</w:t>
            </w:r>
          </w:p>
          <w:p w14:paraId="2C5DEB2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2.1.8.6具备复合滤波：通过复合运算，增强组织边界的显示和解剖结构的平滑度。</w:t>
            </w:r>
          </w:p>
          <w:p w14:paraId="5433482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2.1.8.7具备一键式实时自动连续优化图像技术，包括增益、对比度、侧向增益补偿。</w:t>
            </w:r>
          </w:p>
          <w:p w14:paraId="3DBBB44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2.1.8.8具备实时宽景成像技术，可前进和后退</w:t>
            </w:r>
          </w:p>
          <w:p w14:paraId="78A8809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2.1.8.9具备梯形扩展成像技术</w:t>
            </w:r>
          </w:p>
          <w:p w14:paraId="33BA0F1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2.1.8.10具备心尖扩展成像：相控阵心脏探头采用凸阵扩展技术，实现心尖宽视野显示。</w:t>
            </w:r>
          </w:p>
          <w:p w14:paraId="34FCD2A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2.1.8.11具备应变式弹性成像，具有质量指示器和弹性色条，可定量获取弹性指数及弹性比值</w:t>
            </w:r>
          </w:p>
          <w:p w14:paraId="7258909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2.1.9彩色血流成像单元</w:t>
            </w:r>
          </w:p>
          <w:p w14:paraId="500690A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2.1.9.1具有二维彩色模式、四维彩色模式、能量图模式、速度方差模式、彩色M型模式等多种模式</w:t>
            </w:r>
          </w:p>
          <w:p w14:paraId="201C081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 xml:space="preserve">2.1.9.2具备具体彩色多普勒频率显示，并独立分级可调，≥8级 </w:t>
            </w:r>
          </w:p>
          <w:p w14:paraId="7E6EA55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2.1.9.3具备二维和彩色同步双幅实时显示，亦可应用于冻结和存储的回放图像</w:t>
            </w:r>
          </w:p>
          <w:p w14:paraId="1147AF1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2.1.9.4具备组织内彩色优先显示功能，以显示组织内低速血流</w:t>
            </w:r>
          </w:p>
          <w:p w14:paraId="4950918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2.1.9.5具备彩色去除功能，能在实时、冻结、存储的图像上独立去除彩色信号。</w:t>
            </w:r>
          </w:p>
          <w:p w14:paraId="0E52CA8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2.1.9.6具备在冻结和回放的彩色模式下，再次调节彩色图谱、编码方式、方差模式、彩色/组织优先、彩色增益、彩色反转、彩色基线、彩色叠加等多项参数，应用于诊断。</w:t>
            </w:r>
          </w:p>
          <w:p w14:paraId="6D27915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2.1.9.7具备彩色帧频独立调节能力</w:t>
            </w:r>
          </w:p>
          <w:p w14:paraId="67185C7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▲2.1.9.8具备二维灰阶血流显像：非多普勒原理，直接提取微弱的血细胞回声进行成像。</w:t>
            </w:r>
          </w:p>
          <w:p w14:paraId="1831E18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2.1.9.9具备方向性灰阶血流显像：基于灰阶血流信号，同时提供彩色血流方向性显示。</w:t>
            </w:r>
          </w:p>
          <w:p w14:paraId="5C0B991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2.1.9.10具备内置原厂冠脉血流显像软件，能有效去除心腔彩色噪音，显示冠脉血流。</w:t>
            </w:r>
          </w:p>
          <w:p w14:paraId="6BEB3CE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2.1.9.11具备血流向量成像技术：通过超高帧频成像对血细胞运动轨迹进行追踪，以线条、箭头形式通过颜色编码显示心腔内血流动力学的真实状态。</w:t>
            </w:r>
          </w:p>
          <w:p w14:paraId="4826494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2.1.10频谱多普勒显示单元及分析系统</w:t>
            </w:r>
          </w:p>
          <w:p w14:paraId="3B6F9E0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2.1.10.1具有PW、CW、HPRF、LPRF等多种模式</w:t>
            </w:r>
          </w:p>
          <w:p w14:paraId="08F055E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2.1.10.3多普勒频率显示、独立可调</w:t>
            </w:r>
          </w:p>
          <w:p w14:paraId="585DB3F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2.1.10.4具备自动频谱优化技术，一键控制，自动调整频谱至最佳范围</w:t>
            </w:r>
          </w:p>
          <w:p w14:paraId="3C6BB08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2.1.10.5具备高性能实时双同步、三同步功能，随时可切换</w:t>
            </w:r>
          </w:p>
          <w:p w14:paraId="6E7E07B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2.1.10.6具备自动角度纠正功能，以适应不同角度血管检测</w:t>
            </w:r>
          </w:p>
          <w:p w14:paraId="38BD07F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2.1.10.7具备实时扫描中的图像参数调节，包括增益、基线位置、时间轴快慢、角度校正、噪音抑制、对比度、彩色图谱等的调节，也同样能应用于已经冻结或存储后的图像</w:t>
            </w:r>
          </w:p>
          <w:p w14:paraId="5DF279F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2.1.10.8具备频谱自动分析系统：包括实时自动包络、冻结后自动包络、手动包络；自动计算各血流动力学参数，参数可根据客户需要灵活选择</w:t>
            </w:r>
          </w:p>
          <w:p w14:paraId="18121A2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2.1.10.9具备心脏频谱自动测量：可对心脏瓣膜彩色血流频谱及组织多普勒频谱进行多个心动周期的识别并命名，同时进行自动测量并将结果导入到报告系统</w:t>
            </w:r>
          </w:p>
          <w:p w14:paraId="5B1D01B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2.1.11组织多普勒成像单元</w:t>
            </w:r>
          </w:p>
          <w:p w14:paraId="0E225FE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2.1.11.1具备实时一键式组织速度成像、组织追踪图成像、组织同步化成像、组织应变及应变率成像</w:t>
            </w:r>
          </w:p>
          <w:p w14:paraId="02FF19C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2.1.11.2具有多普勒信号去除功能，能在实时、冻结、存储的图像上独立去除组织多普勒信号。</w:t>
            </w:r>
          </w:p>
          <w:p w14:paraId="1D988DD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2.1.11.3组织多普勒信号可直接转换为组织追踪图、组织同步化图、应变图和应变率图。</w:t>
            </w:r>
          </w:p>
          <w:p w14:paraId="7AA5BBA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2.1.11.4具备在机组织多普勒同步化显像，并具有心肌同步化牛眼图。</w:t>
            </w:r>
          </w:p>
          <w:p w14:paraId="0C9732F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2.1.11.5具备在机同时显示多个节段的心肌速度曲线、位移曲线、应变及应变率曲线</w:t>
            </w:r>
          </w:p>
          <w:p w14:paraId="1ACAA23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2.1.11.6定量曲线能自动导入主动脉瓣及二尖瓣开放关闭时间</w:t>
            </w:r>
          </w:p>
          <w:p w14:paraId="1FD5CA2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▲2.1.11.7支持实时三平面成像</w:t>
            </w:r>
          </w:p>
          <w:p w14:paraId="6CDAA10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2.1.12组织谐波成像单元</w:t>
            </w:r>
          </w:p>
          <w:p w14:paraId="6C308F0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2.1.12.1具备编码二次谐波技术</w:t>
            </w:r>
          </w:p>
          <w:p w14:paraId="69E628E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2.1.12.2具备编码脉冲反向谐波技术</w:t>
            </w:r>
          </w:p>
          <w:p w14:paraId="233037E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2.1.12.3具备谐波频率和基波频率同时显示</w:t>
            </w:r>
          </w:p>
          <w:p w14:paraId="063A940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2.1.13超声造影成像单元</w:t>
            </w:r>
          </w:p>
          <w:p w14:paraId="34D340B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2.1.13.1编码脉冲反向谐波技术和超声调制信号用于造影剂成像</w:t>
            </w:r>
          </w:p>
          <w:p w14:paraId="021C4E8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2.1.13.2支持左心室造影</w:t>
            </w:r>
          </w:p>
          <w:p w14:paraId="426CAC3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2.1.13.3支持血管/腹部造影成像</w:t>
            </w:r>
          </w:p>
          <w:p w14:paraId="4D69E7B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2.1.13.4支持低机械指数的心肌灌注造影成像</w:t>
            </w:r>
          </w:p>
          <w:p w14:paraId="03B690F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2.1.13.5支持经胸二维及四维探头</w:t>
            </w:r>
          </w:p>
          <w:p w14:paraId="5375C6E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2.1.13.6支持食道矩阵容积探头</w:t>
            </w:r>
          </w:p>
          <w:p w14:paraId="6C8AC68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2.1.13.7具有实时四维造影</w:t>
            </w:r>
          </w:p>
          <w:p w14:paraId="125A320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▲2.1.13.8具有三平面造影</w:t>
            </w:r>
          </w:p>
          <w:p w14:paraId="79EEA1A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2.1.13.9支持负荷超声成像下的心肌灌注造影</w:t>
            </w:r>
          </w:p>
          <w:p w14:paraId="6F18DD0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2.1.13.10具备flash，机械指数可调,可心电触发和时间触发，长度可调</w:t>
            </w:r>
          </w:p>
          <w:p w14:paraId="7EC87A4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2.1.13.11具有双时钟计时，存储时间长短可调</w:t>
            </w:r>
          </w:p>
          <w:p w14:paraId="085E501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2.1.13.12可实时前向存储、实时回放存储、编辑后存储等多种方式</w:t>
            </w:r>
          </w:p>
          <w:p w14:paraId="0D1AFE2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2.1.13.13具有在线及离线时间-强度曲线分析工具，能按wash-in/wash-out分析数据</w:t>
            </w:r>
          </w:p>
          <w:p w14:paraId="58DC901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2.1.13.14分析结果自动导入系统工作表进行存储</w:t>
            </w:r>
          </w:p>
          <w:p w14:paraId="234B8DC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2.1.14负荷超声成像单元</w:t>
            </w:r>
          </w:p>
          <w:p w14:paraId="7DADC38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2.1.14.1内置专业负荷超声模块，包括运动负荷、药物负荷</w:t>
            </w:r>
          </w:p>
          <w:p w14:paraId="27F8134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2.1.14.2可自定义编辑模板</w:t>
            </w:r>
          </w:p>
          <w:p w14:paraId="31D29BD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2.1.14.3支持自动转换所需切面、所需测量和检查阶段，自动保存频率和增益等成像条件应用于下一检查阶段</w:t>
            </w:r>
          </w:p>
          <w:p w14:paraId="4E62E88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2.1.14.4负荷超声模块内置心肌长轴应变分析功能，在线即可实现不同负荷阶段的心肌应变大小及达峰时间离散值，提供17和18节段牛眼图显示、曲线显示模式、解剖M型显示模式等，并可同屏对照显示。</w:t>
            </w:r>
          </w:p>
          <w:p w14:paraId="5D70439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2.1.14.5回放时自动显示基础状态下的对比图像，自动同步心动周期</w:t>
            </w:r>
          </w:p>
          <w:p w14:paraId="388BE6A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2.1.14.6支持二维、多平面和四维成像模式</w:t>
            </w:r>
          </w:p>
          <w:p w14:paraId="0EB40BC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2.1.14.7支持造影成像</w:t>
            </w:r>
          </w:p>
          <w:p w14:paraId="56381A9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2.1.14.8支持经食管四维探头</w:t>
            </w:r>
          </w:p>
          <w:p w14:paraId="4FC276B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2.1.14.9可结合组织多普勒，并能定量分析</w:t>
            </w:r>
          </w:p>
          <w:p w14:paraId="3E7E569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2.1.14.10支持室壁运动评分</w:t>
            </w:r>
          </w:p>
          <w:p w14:paraId="6A42690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2.1.14.11内置在同步化治疗评估模板</w:t>
            </w:r>
          </w:p>
          <w:p w14:paraId="4B20505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2.1.15四维成像单元</w:t>
            </w:r>
          </w:p>
          <w:p w14:paraId="26111DB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▲2.1.15.1四维成像单元支持成人、儿童经胸容积成像探头及成人经食道容积成像探头</w:t>
            </w:r>
          </w:p>
          <w:p w14:paraId="01324FD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2.1.15.2所有四维探头均需具有二维、彩色、PW、CW、M型、任意角度直线与曲线解剖M型、组织多普勒、多平面及四维、负荷超声、超声造影等全部功能模式</w:t>
            </w:r>
          </w:p>
          <w:p w14:paraId="3FE0501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2.1.15.3单心动周期全容积成像模式: 单心动周期实时90°×90°全容积成像，无需心电门控触发，无需拼接成像，该模式支持全容积彩色血流显示，且支持经胸四维成像与经食道四维成像</w:t>
            </w:r>
          </w:p>
          <w:p w14:paraId="7BF1EDA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2.1.15.4多心动周期全容积成像，拼接的心动周期个数可选择数≥6个</w:t>
            </w:r>
          </w:p>
          <w:p w14:paraId="0F69850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2.1.15.5自动显示四维各标准切面图像：基于一个切面容积图像，即可一键式获取其他切面容积图像，无需手工剪切，显示切面数≥6个</w:t>
            </w:r>
          </w:p>
          <w:p w14:paraId="32EE5C0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2.1.15.6智能四维视野：通过系统预设的条件，仅需一个按键，即可快速的获取二尖瓣、主动脉瓣、左心耳等结构的四维模式、四维血流模式以及多平面模式等。</w:t>
            </w:r>
          </w:p>
          <w:p w14:paraId="19B3E83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2.1.15.7四维成像角度预设值，根据不同观察部位自由选择，角度预设个数≥4个</w:t>
            </w:r>
          </w:p>
          <w:p w14:paraId="52219C8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2.1.15.8智能解剖标记：以不同颜色的标记点对二维或四维图像进行解剖结构的标定后，会自动将二维图像和四维图像的同一结构进行关联，在调节容积图像的过程中，标记可随解剖结构的空间位置变化而随之移动，标记透明度可调。可支持4D/2D及实时双平面模式。</w:t>
            </w:r>
          </w:p>
          <w:p w14:paraId="7332205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2.1.15.9具有四维局部放大和感兴趣区取样框功能，实时双平面观察，方便局部结构成像</w:t>
            </w:r>
          </w:p>
          <w:p w14:paraId="15A9248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2.1.15.10容积帧频可独立调节</w:t>
            </w:r>
          </w:p>
          <w:p w14:paraId="69168E1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2.1.15.11高帧频容积采集技术，不降低空间分辨率，而获取高帧频的容积图像。</w:t>
            </w:r>
          </w:p>
          <w:p w14:paraId="2EDC130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2.1.15.12四维空间噪音抑制，降低四维图像和基于四维的二维图像的噪音信号</w:t>
            </w:r>
          </w:p>
          <w:p w14:paraId="087D295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2.1.15.13四维心尖扩展成像技术，扩展心尖显示视野</w:t>
            </w:r>
          </w:p>
          <w:p w14:paraId="36A6227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2.1.15.14具备四维彩色模式，并灰阶与彩色比例可调，可单独显示四维彩色血流束</w:t>
            </w:r>
          </w:p>
          <w:p w14:paraId="626CDC5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2.1.15.15具备断层超声成像，具备5、7、8、12切面可选</w:t>
            </w:r>
          </w:p>
          <w:p w14:paraId="3AF2C71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2.1.15.16具备实时双平面</w:t>
            </w:r>
          </w:p>
          <w:p w14:paraId="48F3E1E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▲2.1.15.17实时三平面成像：一次扫查同时获取同一心动周期三个切面的图像，切面之间的角度任意可调，支持二维、彩色，组织多普勒等模式, 可运用于负荷超声和左室造影</w:t>
            </w:r>
          </w:p>
          <w:p w14:paraId="3DC3D15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2.1.15.18任意两点剪切容积成像</w:t>
            </w:r>
          </w:p>
          <w:p w14:paraId="700E93B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2.1.15.19智能切面显示:对实时或存储容积数据中，可在XYZ轴进行任意位置的二维切面显示内部结构，不同维度的二维切面和容积图像进行交互式参照与切割，也可在其中一个二维切面上选择两个不同的切割线进行分别的位置调整得到与之垂直的相关断面的显示。可在各个二维切面上进行长度、面积测量。</w:t>
            </w:r>
          </w:p>
          <w:p w14:paraId="5BA2F7C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2.1.15.20实时三维以及实时三维彩色模式下，一键快速镜向反转功能</w:t>
            </w:r>
          </w:p>
          <w:p w14:paraId="2291993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2.1.15.21立体成像：采用红蓝偏光技术，立体显示心脏结构</w:t>
            </w:r>
          </w:p>
          <w:p w14:paraId="6864EF3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2.1.15.23心脏内腔镜四维成像：可在实时或回放模式下对4D TEE或TTE数据，采用光源投照法，呈现心脏四维类解剖结构的显示，其中光源深度、光源数量（≥2个）及光源方向均可调节，按照视觉习惯将感兴趣区加亮显示，增加立体显示效果，突出显示病变部位及组织毗邻关系。</w:t>
            </w:r>
          </w:p>
          <w:p w14:paraId="10617F0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2.1.15.24具备四维容积透明血流渲染模式，可对四维容积彩色数据透明度进行调节，避免彩色血流对组织或深部血流的遮挡，可辅助操作者甄别复杂血流动力学特征。</w:t>
            </w:r>
          </w:p>
          <w:p w14:paraId="0DC7FC2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 xml:space="preserve">2.1.15.25双视野四维容积成像：可实时或对回放的四维图像进行处理，获取双容积视野成像对面观，动态显示两个相反视角的四维容积图像。     </w:t>
            </w:r>
          </w:p>
          <w:p w14:paraId="2B39A4D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2.1.16.26具备虚拟存储功能，四维容积图像编辑后可再次存储，不占用系统内存</w:t>
            </w:r>
          </w:p>
          <w:p w14:paraId="2AB4A25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2.1.17</w:t>
            </w:r>
          </w:p>
          <w:p w14:paraId="06E568E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扫描助手功能：客户自定义操作流程、成像模式设定、测量等操作，减少击键次数，提供在线和离线编辑器，不同设备间可复制使用。</w:t>
            </w:r>
          </w:p>
          <w:p w14:paraId="175ECD4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2.2测量和分析： (B型、M型、频谱多普勒、彩色多普勒、心脏容积模式)</w:t>
            </w:r>
          </w:p>
          <w:p w14:paraId="264F7C5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2.2.1一般测量功能：直径、面积、体积、狭窄率、压差等</w:t>
            </w:r>
          </w:p>
          <w:p w14:paraId="4C29B4B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2.2.2心脏功能测量与分析</w:t>
            </w:r>
          </w:p>
          <w:p w14:paraId="1581728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2.2.2.1直线解剖M型和曲线解剖M型</w:t>
            </w:r>
          </w:p>
          <w:p w14:paraId="455E097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2.2.2.2基于人工智能（AI），自动识别标准切面并选择图像质量最佳的心动周期进行心内膜运动轨迹的追踪，进行二维心功能测量，支持单平面和双平面计算</w:t>
            </w:r>
          </w:p>
          <w:p w14:paraId="1AB9C48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2.2.2.3具备在二维图像模式下的心脏腔室自动测量：智能识别心室收缩末和舒张末时间点，自动测量左室内径、室间隔及左室后壁厚度、EF值等信息，提高心脏腔室测量的准确率和重复性。</w:t>
            </w:r>
          </w:p>
          <w:p w14:paraId="6CE2558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2.2.2.4自动一键射血分数 （EF） 测量：基于 AI 的自动 ROI 检测算法在有或没有 ECG 信号的情况下完成射血分数 （EF） 测量，除了启动测量工具和批准结果外，无需手动干预。</w:t>
            </w:r>
          </w:p>
          <w:p w14:paraId="285B54E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2.2.2.5在线斑点追踪定量分析: 基于人工智能（AI），可自动识别切面并选择三个质量最佳的心动周期进行心肌斑点信号的追踪，分析心肌收缩期长轴峰值应变、收缩后收缩指数、提供17和18节段牛眼图、曲线显示模式、曲线解剖M型显示模式等。并可同步显示双平面Simpson法EF值。支持在常规成人及小儿心脏探头、经食道探头、心脏容积探头上实现。</w:t>
            </w:r>
          </w:p>
          <w:p w14:paraId="23701E3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2.2.2.6基于二维斑点追踪技术，可直接分析长轴心肌收缩期峰值应变达峰时间、峰值应变离散，提供17和18节段牛眼图显示，以显示和评价心肌二维同步性</w:t>
            </w:r>
          </w:p>
          <w:p w14:paraId="6DEE725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2.2.2.7自动一键式左室长轴应变分析：基于 AI 的自动 ROI 检测算法完成左室长轴应变(AFI LV)工作流程，除了启动测量工具和批准结果外，无需人工干预</w:t>
            </w:r>
          </w:p>
          <w:p w14:paraId="146C296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2.2.2.8具备专用二维左心房定量工具：基于斑点追踪技术，可提供左心房整体应变数值（包括：储备、管道、收缩期）及应变变化曲线，排空分数及左房容积数据（包括四腔和两腔切面）</w:t>
            </w:r>
          </w:p>
          <w:p w14:paraId="701D10C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2.2.2.9具备专用二维右心室定量工具：基于斑点追踪技术，可提供整体应变（6节段）、游离壁应变（3节段）和三尖瓣位移TAPSE参数。</w:t>
            </w:r>
          </w:p>
          <w:p w14:paraId="7BE53C8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▲2.2.2.10心肌做功定量分析：分析左心整体和局部的做功情况，包括做功指数、整体有效做功、整体无效做功、整体做功效率等参数。</w:t>
            </w:r>
          </w:p>
          <w:p w14:paraId="074FB3B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2.2.2.11基于心脏容积图像的斑点追踪技术，能够在同一心动周期中提供左心室各节段的以下应变参数:径向、长轴、环形、面积应变、拧转、扭矩。在线和离线均可实现，提供≥17节段牛眼图显示及曲线显示、自动存入报告系统。</w:t>
            </w:r>
          </w:p>
          <w:p w14:paraId="6D13A0C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2.2.2.12四维自动左室定量分析：提供EDV、 ESV、EF、SV、CO等心功能分析参数。</w:t>
            </w:r>
          </w:p>
          <w:p w14:paraId="36678F6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▲2.2.2.13三平面心肌斑点追踪技术：基于斑点追踪技术，对来自同一心动周期的三个平面进行心肌斑点追踪，分析左心室各节段的应变。</w:t>
            </w:r>
          </w:p>
          <w:p w14:paraId="4E0A4B3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2.2.2.14能在容积图像上进行直线和面积测量。</w:t>
            </w:r>
          </w:p>
          <w:p w14:paraId="35AC851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2.2.2.15具备基于四维容积数据的二尖瓣定量分析工具。</w:t>
            </w:r>
          </w:p>
          <w:p w14:paraId="4C5A5A3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2.2.2.16具备基于四维容积数据的主动脉瓣定量分析工具。</w:t>
            </w:r>
          </w:p>
          <w:p w14:paraId="44C50A2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2.2.2.17基于容积数据的右心室定量分析工具，可提供右心室容积数据如ESV、EDV、SV、EF等数据，亦可提供RV Dd base、RV Dd mid、RV Ld、TAPSE三尖瓣环位移和FAC面积变化百分数等参数。</w:t>
            </w:r>
          </w:p>
          <w:p w14:paraId="191F0EE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2.2.2.18具备主机内置四维左房功能定量工具：通过使用实时四维经胸容积探头，采集左房四维数据，提供左房最大容积、最小容积、PreA容积及左房容积指数，同时能够提供左房三个时相（储备期、管道期、收缩期）的长轴应变、圆周应变等参数。</w:t>
            </w:r>
          </w:p>
          <w:p w14:paraId="3C6575D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2.2.2.19具备儿科心脏Z-score评分系统</w:t>
            </w:r>
          </w:p>
          <w:p w14:paraId="16A191A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2.2.3产科测量软件包</w:t>
            </w:r>
          </w:p>
          <w:p w14:paraId="7195CAA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2.2.3.1内置产科测量软件包，包含胎儿生长分析数据与图表</w:t>
            </w:r>
          </w:p>
          <w:p w14:paraId="7585BA8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2.2.3.2胎儿生长发育曲线显示，支持多胞胎对比</w:t>
            </w:r>
          </w:p>
          <w:p w14:paraId="49E7210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2.2.3.3可根据用户需要选择欧洲、美国和亚洲人群的计算公式，亦可自定义公式。</w:t>
            </w:r>
          </w:p>
          <w:p w14:paraId="46C63D7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2.2.3.4包含卵巢与子宫测量报告</w:t>
            </w:r>
          </w:p>
          <w:p w14:paraId="1747F64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2.2.3.5测量结果自动导入主机内置工作表，并可自动生成报告输出与打印</w:t>
            </w:r>
          </w:p>
          <w:p w14:paraId="0D021B6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2.2.4血流测量与分析: 频谱多普勒实时自动包络，参数可自定义设定。</w:t>
            </w:r>
          </w:p>
          <w:p w14:paraId="6E6A388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2.2.5血管内中膜自动测量</w:t>
            </w:r>
          </w:p>
          <w:p w14:paraId="3CE4DDC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2.2.6曲线面积测量</w:t>
            </w:r>
          </w:p>
          <w:p w14:paraId="34661F6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2.2.7对不同阶段获得的测量值和图像进行同屏对比，可比较手术前后的测量值变化。</w:t>
            </w:r>
          </w:p>
          <w:p w14:paraId="119EACD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2.3图像存储与（电影）回放重现单元</w:t>
            </w:r>
          </w:p>
          <w:p w14:paraId="2F95F64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2.3.1超声图像静态、动态存储，原始数据回放重现</w:t>
            </w:r>
          </w:p>
          <w:p w14:paraId="44E2276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2.3.2动态图像、静态图像以AVI、JPEG或MPEGVue格式直接存储于可移动媒介</w:t>
            </w:r>
          </w:p>
          <w:p w14:paraId="435C376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2.3.3支持压缩和高清DICOM图像传输</w:t>
            </w:r>
          </w:p>
          <w:p w14:paraId="070857F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2.3.4在屏剪帖板和多画面同屏回放功能，不同检查日期所存的图像可以回放至同一屏幕比较分析</w:t>
            </w:r>
          </w:p>
          <w:p w14:paraId="6361B9F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2.3.5USB接口支持U盘或移动硬盘快速存储屏幕上的图像</w:t>
            </w:r>
          </w:p>
          <w:p w14:paraId="13B9B79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2.4参考信号：心电、心音、脉搏波、心电触发</w:t>
            </w:r>
          </w:p>
          <w:p w14:paraId="07A3A27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2.5输入/输出信号:</w:t>
            </w:r>
          </w:p>
          <w:p w14:paraId="1E76F95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2.5.1输入：ECG, USB</w:t>
            </w:r>
          </w:p>
          <w:p w14:paraId="1F7889C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2.5.2输出：DVI-D，音频，USB</w:t>
            </w:r>
          </w:p>
          <w:p w14:paraId="7479ABC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2.6图像管理与记录装置：</w:t>
            </w:r>
          </w:p>
          <w:p w14:paraId="29CADC8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2.6.1内置图像管理系统</w:t>
            </w:r>
          </w:p>
          <w:p w14:paraId="0D0C872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2.6.2内置SSD固态硬盘存储≥1TB，其中可用于图像存储空间≥750GB</w:t>
            </w:r>
          </w:p>
          <w:p w14:paraId="2692837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2.6.3可扩展的存储装置：大容量移动硬盘、DVD-RW、DVR等</w:t>
            </w:r>
          </w:p>
          <w:p w14:paraId="5B3D7F6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 xml:space="preserve">2.7连通性： </w:t>
            </w:r>
          </w:p>
          <w:p w14:paraId="66F81B7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5.7.1医学数字图像和通信DICOM3.0版接口部件，支持高清DICOM传输</w:t>
            </w:r>
          </w:p>
          <w:p w14:paraId="46F4BB6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5.7.2支持局域网/PACS/HIS等直接存储、查询与调阅</w:t>
            </w:r>
          </w:p>
          <w:p w14:paraId="5CDF0D5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2.7.3支持DICOM打印</w:t>
            </w:r>
          </w:p>
          <w:p w14:paraId="41FE138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三、其他</w:t>
            </w:r>
          </w:p>
          <w:p w14:paraId="0CC6448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3.1系统通用功能</w:t>
            </w:r>
          </w:p>
          <w:p w14:paraId="0F3D7C0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3.1.3操作面板具有的触摸屏能进行图管理、图像预览和动态图像播放功能、图像输出操作等。</w:t>
            </w:r>
          </w:p>
          <w:p w14:paraId="4922F02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3.1.4操作面板两侧有文件放置盒、耦合剂放置区等外部设备</w:t>
            </w:r>
          </w:p>
          <w:p w14:paraId="67FB0B2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3.1.5探头接口：激活探头接口数≥4个</w:t>
            </w:r>
          </w:p>
          <w:p w14:paraId="7BED676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3.1.6触摸屏具有探头接口和探头显示功能、预设条件显示</w:t>
            </w:r>
          </w:p>
          <w:p w14:paraId="487831F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3.1.7</w:t>
            </w:r>
          </w:p>
          <w:p w14:paraId="774F2D8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3.1.8</w:t>
            </w:r>
          </w:p>
          <w:p w14:paraId="5AA6D25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3.2探头规格</w:t>
            </w:r>
          </w:p>
          <w:p w14:paraId="7E7041E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3.2.1频率：所配探头均为宽频带多点变频探头，中心频率可选择≥4种</w:t>
            </w:r>
          </w:p>
          <w:p w14:paraId="7553C8D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3.2.2二维、彩色、多普勒均可独立变频</w:t>
            </w:r>
          </w:p>
          <w:p w14:paraId="3AC49AD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3.2.3类型：可支持心脏矩阵探头，相控阵、凸阵、微凸阵、腔内、线阵、经食道及术中探头</w:t>
            </w:r>
          </w:p>
          <w:p w14:paraId="6E5602B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3.2.4B/D兼用：相控阵B/PWD/CWD，线阵B/PWD，凸阵B/PWD</w:t>
            </w:r>
          </w:p>
          <w:p w14:paraId="1D8CCDB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3.2.4标配4把探头。</w:t>
            </w:r>
          </w:p>
          <w:p w14:paraId="78FD613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3.2.5探头要求:</w:t>
            </w:r>
          </w:p>
          <w:p w14:paraId="16A9563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成人单晶矩阵探头：1.0-5.0MHz</w:t>
            </w:r>
          </w:p>
          <w:p w14:paraId="5E76820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成人相控阵探头：1.0-5.0MHz</w:t>
            </w:r>
          </w:p>
          <w:p w14:paraId="5CED43D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电子线阵：2.0-10.0MHz</w:t>
            </w:r>
          </w:p>
          <w:p w14:paraId="294E164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经食道矩阵容积探头：3.0-8.0MHz</w:t>
            </w:r>
          </w:p>
          <w:p w14:paraId="3A96004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成人凸阵：1.0-6.0MHz</w:t>
            </w:r>
          </w:p>
          <w:p w14:paraId="2DA6026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3.3二维灰阶显像主要参数</w:t>
            </w:r>
          </w:p>
          <w:p w14:paraId="5C2F271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▲3.3.1成人相控阵探头扫描角度：10°-120°选择</w:t>
            </w:r>
          </w:p>
          <w:p w14:paraId="7A22782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 xml:space="preserve">3.3.2成像速率: </w:t>
            </w:r>
          </w:p>
          <w:p w14:paraId="5F1A29A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 xml:space="preserve">相控阵探头：90o，18cm深度时，帧速率≥100帧/秒 </w:t>
            </w:r>
          </w:p>
          <w:p w14:paraId="7D18410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经胸相控阵容积探头：极限帧频≥1000 ，90°×90°、16cm深度时，帧频≥45</w:t>
            </w:r>
          </w:p>
          <w:p w14:paraId="3544F56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经食管矩阵容积探头：极限帧频≥750</w:t>
            </w:r>
          </w:p>
          <w:p w14:paraId="7B7230F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3.3.3二维灰阶成像≥256灰阶</w:t>
            </w:r>
          </w:p>
          <w:p w14:paraId="18CA858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3.3.4支持高清晰局部放大，放大时增加信息量，提高分辨率和帧频</w:t>
            </w:r>
          </w:p>
          <w:p w14:paraId="15E022A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3.3.5回放重现：灰阶图像回放≥5000幅，允许12窗口同屏回放, 多窗口时允许不同时期的图像和实时图像对比</w:t>
            </w:r>
          </w:p>
          <w:p w14:paraId="1645A5B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3.3.6增益调节：STC分段≥8，B/M可独立调节</w:t>
            </w:r>
          </w:p>
          <w:p w14:paraId="5CB6F03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3.3.7二次谐波：所配探头支持二次谐波，相控阵探头谐波数≥6组</w:t>
            </w:r>
          </w:p>
          <w:p w14:paraId="5A83B18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3.3.8心脏扫描深度≥30cm</w:t>
            </w:r>
          </w:p>
          <w:p w14:paraId="20246EE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 xml:space="preserve">▲3.3.9腹部探头扫描深度≥50cm </w:t>
            </w:r>
          </w:p>
          <w:p w14:paraId="11DD105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3.4频谱多普勒成像参数</w:t>
            </w:r>
          </w:p>
          <w:p w14:paraId="03E9E6A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3.4.1方式： PWD, HPRF，LPRF，CWD</w:t>
            </w:r>
          </w:p>
          <w:p w14:paraId="34C5FCF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3.4.2多普勒发射频率：</w:t>
            </w:r>
          </w:p>
          <w:p w14:paraId="19E99D2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扇扫：≥八段</w:t>
            </w:r>
          </w:p>
          <w:p w14:paraId="7D16A8C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线阵：≥三段</w:t>
            </w:r>
          </w:p>
          <w:p w14:paraId="3BD8F67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凸阵：≥六段</w:t>
            </w:r>
          </w:p>
          <w:p w14:paraId="3AF5DC0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3.4.3最大测量速度：</w:t>
            </w:r>
          </w:p>
          <w:p w14:paraId="2D7AE9E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PWD：血流速度≥7.6m/s</w:t>
            </w:r>
          </w:p>
          <w:p w14:paraId="2A37BCD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CWD：血流速度≥12m/s</w:t>
            </w:r>
          </w:p>
          <w:p w14:paraId="5714D84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3.4.4最低测量速度：≤2mm/s(非噪声信号)</w:t>
            </w:r>
          </w:p>
          <w:p w14:paraId="06FD4D5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3.4.5显示方式：B、M、B/M、B/M/CFI、B/D、D、B/CFI/D</w:t>
            </w:r>
          </w:p>
          <w:p w14:paraId="6B04901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3.4.6电影回放：≥90秒</w:t>
            </w:r>
          </w:p>
          <w:p w14:paraId="17F67EF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3.4.7零位移动：≥6级</w:t>
            </w:r>
          </w:p>
          <w:p w14:paraId="3D7FCF4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3.4.8取样宽度及位置范围：宽度1-16mm；分级可调</w:t>
            </w:r>
          </w:p>
          <w:p w14:paraId="789A912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3.4.9显示控制：反转显示(左/右；上/下)、零移位，B—刷新(手控、时间、ECG同步)、D扩展、B/D扩展，局放及移位</w:t>
            </w:r>
          </w:p>
          <w:p w14:paraId="39317D7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3.4.10频谱自动包络并完成测量，参数可自定义，可于实时、冻结和回放图像上完成</w:t>
            </w:r>
          </w:p>
          <w:p w14:paraId="305D061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6.5彩色多普勒成像参数</w:t>
            </w:r>
          </w:p>
          <w:p w14:paraId="38584FB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3.5.1显示方式：速度显示、能量显示、方差显示、彩色心肌速度多普勒显示、彩色心肌位移多普勒显示</w:t>
            </w:r>
          </w:p>
          <w:p w14:paraId="5B0187A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3.5.2实时二同步/三同步显示</w:t>
            </w:r>
          </w:p>
          <w:p w14:paraId="369966B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 xml:space="preserve">3.5.3彩色显示帧频： </w:t>
            </w:r>
          </w:p>
          <w:p w14:paraId="59133C8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 xml:space="preserve">相控阵扇扫探头、90°角，18cm深满屏显示，彩色显示帧频≥19帧/s  </w:t>
            </w:r>
          </w:p>
          <w:p w14:paraId="228F18C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 xml:space="preserve">相控阵扇扫探头、90°角，18cm深满屏显示，彩色组织多普勒帧频≥139帧/s  </w:t>
            </w:r>
          </w:p>
          <w:p w14:paraId="02E8363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3.5.4显示位置调整：线阵扫描感兴趣的图像范围： -30°- +30°</w:t>
            </w:r>
          </w:p>
          <w:p w14:paraId="5EE0DD6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3.5.5显示控制：零位移动分±10级、黑/白与彩色比较、彩色对比</w:t>
            </w:r>
          </w:p>
          <w:p w14:paraId="13D599C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3.5.6彩色显示速度：最低平均血流显示速度：≤10mm/s</w:t>
            </w:r>
          </w:p>
          <w:p w14:paraId="7B8E3F7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▲3.5.7实时组织多普勒速度成像、实时组织多普勒位移成像,可M型、直线解剖M型、曲线解剖M型及频谱分析。</w:t>
            </w:r>
          </w:p>
          <w:p w14:paraId="233882C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3.6超声功率输出调节:B/M、CWD、PWD、Color Doppler输出功率可调</w:t>
            </w:r>
          </w:p>
        </w:tc>
        <w:tc>
          <w:tcPr>
            <w:tcW w:w="454" w:type="pct"/>
            <w:tcBorders>
              <w:top w:val="single" w:color="auto" w:sz="4" w:space="0"/>
              <w:left w:val="nil"/>
              <w:bottom w:val="single" w:color="auto" w:sz="4" w:space="0"/>
              <w:right w:val="single" w:color="auto" w:sz="4" w:space="0"/>
            </w:tcBorders>
            <w:shd w:val="clear" w:color="auto" w:fill="FFFFFF"/>
            <w:vAlign w:val="center"/>
          </w:tcPr>
          <w:p w14:paraId="512F10FF">
            <w:pPr>
              <w:widowControl/>
              <w:tabs>
                <w:tab w:val="left" w:pos="900"/>
              </w:tabs>
              <w:jc w:val="center"/>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套</w:t>
            </w:r>
          </w:p>
        </w:tc>
        <w:tc>
          <w:tcPr>
            <w:tcW w:w="454" w:type="pct"/>
            <w:tcBorders>
              <w:top w:val="single" w:color="auto" w:sz="4" w:space="0"/>
              <w:left w:val="nil"/>
              <w:bottom w:val="single" w:color="auto" w:sz="4" w:space="0"/>
              <w:right w:val="single" w:color="auto" w:sz="4" w:space="0"/>
            </w:tcBorders>
            <w:shd w:val="clear" w:color="auto" w:fill="FFFFFF"/>
            <w:vAlign w:val="center"/>
          </w:tcPr>
          <w:p w14:paraId="058E3D5C">
            <w:pPr>
              <w:widowControl/>
              <w:tabs>
                <w:tab w:val="left" w:pos="900"/>
              </w:tabs>
              <w:jc w:val="center"/>
              <w:textAlignment w:val="center"/>
              <w:rPr>
                <w:rFonts w:hint="default" w:ascii="宋体" w:hAnsi="宋体" w:eastAsia="宋体" w:cs="Arial"/>
                <w:color w:val="auto"/>
                <w:kern w:val="0"/>
                <w:sz w:val="24"/>
                <w:szCs w:val="24"/>
                <w:highlight w:val="none"/>
                <w:lang w:val="en-US" w:eastAsia="zh-CN"/>
              </w:rPr>
            </w:pPr>
            <w:r>
              <w:rPr>
                <w:rFonts w:hint="eastAsia" w:ascii="宋体" w:hAnsi="宋体" w:eastAsia="宋体" w:cs="Arial"/>
                <w:color w:val="auto"/>
                <w:kern w:val="0"/>
                <w:sz w:val="24"/>
                <w:szCs w:val="24"/>
                <w:highlight w:val="none"/>
                <w:lang w:val="en-US" w:eastAsia="zh-CN"/>
              </w:rPr>
              <w:t>1</w:t>
            </w:r>
          </w:p>
        </w:tc>
        <w:tc>
          <w:tcPr>
            <w:tcW w:w="618" w:type="pct"/>
            <w:tcBorders>
              <w:top w:val="single" w:color="auto" w:sz="4" w:space="0"/>
              <w:left w:val="nil"/>
              <w:bottom w:val="single" w:color="auto" w:sz="4" w:space="0"/>
              <w:right w:val="single" w:color="auto" w:sz="4" w:space="0"/>
            </w:tcBorders>
            <w:vAlign w:val="center"/>
          </w:tcPr>
          <w:p w14:paraId="686B1EB4">
            <w:pPr>
              <w:widowControl/>
              <w:jc w:val="center"/>
              <w:rPr>
                <w:rFonts w:hint="eastAsia" w:ascii="宋体" w:hAnsi="宋体" w:eastAsia="宋体" w:cs="Arial"/>
                <w:color w:val="auto"/>
                <w:kern w:val="0"/>
                <w:sz w:val="24"/>
                <w:szCs w:val="24"/>
                <w:highlight w:val="none"/>
                <w:lang w:val="en-US" w:eastAsia="zh-CN"/>
              </w:rPr>
            </w:pPr>
            <w:r>
              <w:rPr>
                <w:rFonts w:hint="eastAsia" w:ascii="宋体" w:hAnsi="宋体" w:eastAsia="宋体" w:cs="Arial"/>
                <w:color w:val="auto"/>
                <w:kern w:val="0"/>
                <w:sz w:val="24"/>
                <w:szCs w:val="24"/>
                <w:highlight w:val="none"/>
                <w:lang w:val="en-US" w:eastAsia="zh-CN"/>
              </w:rPr>
              <w:t>是</w:t>
            </w:r>
          </w:p>
        </w:tc>
      </w:tr>
      <w:tr w14:paraId="2BC59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9" w:type="pct"/>
            <w:tcBorders>
              <w:top w:val="single" w:color="auto" w:sz="4" w:space="0"/>
              <w:left w:val="single" w:color="auto" w:sz="4" w:space="0"/>
              <w:bottom w:val="single" w:color="auto" w:sz="4" w:space="0"/>
              <w:right w:val="single" w:color="auto" w:sz="4" w:space="0"/>
            </w:tcBorders>
            <w:shd w:val="clear" w:color="auto" w:fill="FFFFFF"/>
            <w:vAlign w:val="center"/>
          </w:tcPr>
          <w:p w14:paraId="75C79981">
            <w:pPr>
              <w:widowControl/>
              <w:tabs>
                <w:tab w:val="left" w:pos="420"/>
                <w:tab w:val="left" w:pos="900"/>
              </w:tabs>
              <w:jc w:val="center"/>
              <w:rPr>
                <w:rFonts w:hint="eastAsia" w:ascii="宋体" w:hAnsi="宋体" w:eastAsia="宋体" w:cs="Arial"/>
                <w:color w:val="auto"/>
                <w:kern w:val="0"/>
                <w:sz w:val="24"/>
                <w:szCs w:val="24"/>
                <w:highlight w:val="none"/>
                <w:lang w:val="en-US" w:eastAsia="zh-CN"/>
              </w:rPr>
            </w:pPr>
            <w:r>
              <w:rPr>
                <w:rFonts w:hint="eastAsia" w:ascii="宋体" w:hAnsi="宋体" w:eastAsia="宋体" w:cs="Arial"/>
                <w:color w:val="auto"/>
                <w:kern w:val="0"/>
                <w:sz w:val="24"/>
                <w:szCs w:val="24"/>
                <w:highlight w:val="none"/>
                <w:lang w:val="en-US" w:eastAsia="zh-CN"/>
              </w:rPr>
              <w:t>3</w:t>
            </w:r>
          </w:p>
        </w:tc>
        <w:tc>
          <w:tcPr>
            <w:tcW w:w="846" w:type="pct"/>
            <w:tcBorders>
              <w:top w:val="single" w:color="auto" w:sz="4" w:space="0"/>
              <w:left w:val="nil"/>
              <w:bottom w:val="single" w:color="auto" w:sz="4" w:space="0"/>
              <w:right w:val="single" w:color="auto" w:sz="4" w:space="0"/>
            </w:tcBorders>
            <w:shd w:val="clear" w:color="auto" w:fill="FFFFFF"/>
            <w:vAlign w:val="center"/>
          </w:tcPr>
          <w:p w14:paraId="36FF47E3">
            <w:pPr>
              <w:widowControl/>
              <w:tabs>
                <w:tab w:val="left" w:pos="900"/>
              </w:tabs>
              <w:jc w:val="center"/>
              <w:textAlignment w:val="center"/>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彩超（妇产）</w:t>
            </w:r>
          </w:p>
        </w:tc>
        <w:tc>
          <w:tcPr>
            <w:tcW w:w="2277" w:type="pct"/>
            <w:tcBorders>
              <w:top w:val="single" w:color="auto" w:sz="4" w:space="0"/>
              <w:left w:val="nil"/>
              <w:bottom w:val="single" w:color="auto" w:sz="4" w:space="0"/>
              <w:right w:val="single" w:color="auto" w:sz="4" w:space="0"/>
            </w:tcBorders>
            <w:shd w:val="clear" w:color="auto" w:fill="FFFFFF"/>
            <w:vAlign w:val="center"/>
          </w:tcPr>
          <w:p w14:paraId="3446861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一、用途说明：妇产科、腹部、胎儿心脏、新生儿、心脏、泌尿科、浅表组织与小器官、颅脑、肌骨、外周血管及科研的超高端实时三维（四维）彩色多普勒超声诊断仪，满足产科超声诊断，妇科疑难病例超声诊断，胎儿畸形产前诊断及科研。</w:t>
            </w:r>
          </w:p>
          <w:p w14:paraId="3631AD4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二、技术要求</w:t>
            </w:r>
          </w:p>
          <w:p w14:paraId="6C6DF8F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 、物理规格：</w:t>
            </w:r>
          </w:p>
          <w:p w14:paraId="17693B1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1.1具备主机平台。</w:t>
            </w:r>
          </w:p>
          <w:p w14:paraId="5741489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1.2主机显示器：≥23.5英寸LCD或LED或0LED或HD Max显示器，分辨率1920×1080。</w:t>
            </w:r>
          </w:p>
          <w:p w14:paraId="1536257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▲1.3主机液晶触摸屏≥15英寸。</w:t>
            </w:r>
          </w:p>
          <w:p w14:paraId="52E5D7B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1.4操作控制台，可单键电动垂直调节高度，并可左右转动、前后移动和锁定。</w:t>
            </w:r>
          </w:p>
          <w:p w14:paraId="181D5F1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1.5 ≥4 个激活成像探头接口，可通用互换。</w:t>
            </w:r>
          </w:p>
          <w:p w14:paraId="1EA22E9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1.6频率：超宽频变频探头, 频段及频率数字双重显示模式，探头频宽可选择≥3种，多普勒可选不同频宽。</w:t>
            </w:r>
          </w:p>
          <w:p w14:paraId="7A6A548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▲1.7 标配5把探头，要求如下：</w:t>
            </w:r>
          </w:p>
          <w:p w14:paraId="559604E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凸阵探头（1把）：2—9MHz，最大显示角度≥110°，≥192阵元。</w:t>
            </w:r>
          </w:p>
          <w:p w14:paraId="59AE51D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凸阵容积探头（1把）：2—9MHz，二维最大显示角度≥90°，≥192阵元。</w:t>
            </w:r>
          </w:p>
          <w:p w14:paraId="33E00F0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腔内容积探头（1把）：4-12MHz，二维最大显示角度≥185°，≥192阵元。</w:t>
            </w:r>
          </w:p>
          <w:p w14:paraId="110205A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线阵探头（1把）：3-8MHz，≥192阵元</w:t>
            </w:r>
          </w:p>
          <w:p w14:paraId="6F900EE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腔内探头（1把）：4-9 MHz，二维最大显示角度≥185°，≥192阵元</w:t>
            </w:r>
          </w:p>
          <w:p w14:paraId="40B363E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1.8类型：支持凸阵、线阵、相控阵、术中、凸阵容积、线阵容积、腔内容积探头。</w:t>
            </w:r>
          </w:p>
          <w:p w14:paraId="411E8CC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1.9探头技术：具备手势感应探头技术或探头智能响应技术或无线探头技术或具备相控阵容积探头技术。</w:t>
            </w:r>
          </w:p>
          <w:p w14:paraId="0A148EE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1.10主机具备一体化耦合剂加热装置.</w:t>
            </w:r>
          </w:p>
          <w:p w14:paraId="32271EF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2系统成像</w:t>
            </w:r>
          </w:p>
          <w:p w14:paraId="077EAD1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2.1具备二维灰阶成像单元、彩色多普勒单元、能量多普勒成像单元、脉冲多普勒成像单元、连续多普勒成像单元、实时三维（四维）成像单元。</w:t>
            </w:r>
          </w:p>
          <w:p w14:paraId="316C28D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2.2 空间复合成像，获得更佳的二维图像质量,声束偏转线数≥9条，≥8级别可调。</w:t>
            </w:r>
          </w:p>
          <w:p w14:paraId="678F5E1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2.3 自适应核磁像素优化技术或类似技术，支持2D/3D/4D模式，支持灰阶、彩色模式。</w:t>
            </w:r>
          </w:p>
          <w:p w14:paraId="0B49C8A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2.4 二维凸阵探头及线阵探头可以支持连续波多普勒成像，便于进行胎儿心脏血流速度测量。</w:t>
            </w:r>
          </w:p>
          <w:p w14:paraId="2ED5555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2.5 二维灰阶成像模式下血流直接显示技术或类似技术，无需造影剂，无需彩色多普勒模式，即可对血流进行实时显示，无彩色取样框限制。</w:t>
            </w:r>
          </w:p>
          <w:p w14:paraId="4241A77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2.6 立体血流成像技术，常规二维探头即可呈现立体血流形态，增强血流边界的显示及可视化效果。能支持二维凸阵、二维线阵、二维腔内及二维相控阵探头。</w:t>
            </w:r>
          </w:p>
          <w:p w14:paraId="222C8E2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2.7 具有二维高清血流显示技术,全面显示组织器官微血流灌注。</w:t>
            </w:r>
          </w:p>
          <w:p w14:paraId="0A140F8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2.8 智能胎儿多普勒技术，可切换≥5种血流预设。</w:t>
            </w:r>
          </w:p>
          <w:p w14:paraId="2512FB2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2.9 宽景成像或超宽视野成像，支持所有凸阵和线阵探头。</w:t>
            </w:r>
          </w:p>
          <w:p w14:paraId="5B699A1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2.10 具备具备针对强回声结构产生的声影区图像进行增强优化的专用技术或者类似技术：帮助恢复被声阴影遮挡的组织和边界，提供从近场到远场均匀一致的图像品质。</w:t>
            </w:r>
          </w:p>
          <w:p w14:paraId="4D63F8E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2.11困难条件成像技术或高穿透率技术：轻松解决以往扫描困难患者，高体重指数，获得更清晰的图像。</w:t>
            </w:r>
          </w:p>
          <w:p w14:paraId="24825C7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2.12 内置子宫形态分类方法，可以直接根据示意图，判断子宫形态。</w:t>
            </w:r>
          </w:p>
          <w:p w14:paraId="08D7654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2.13 具备子宫内膜异位症标准超声图文评估流程助手或支持子宫内膜蠕动波分析功能。</w:t>
            </w:r>
          </w:p>
          <w:p w14:paraId="5AABC75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2.14 具备子宫内膜肿瘤评估报告系统或具备腔内剪切波弹性成像功能。</w:t>
            </w:r>
          </w:p>
          <w:p w14:paraId="209A95F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2.15 具备子宫冠状面自动成像，同时可直接链接到内置的子宫形态分类图标，以方便记录子宫形状.</w:t>
            </w:r>
          </w:p>
          <w:p w14:paraId="5CF500C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2.16 支持机械指数和热指数警报设置，可自定义声输出限制并将其设定到系统中，将在扫描时提供超预设警报。</w:t>
            </w:r>
          </w:p>
          <w:p w14:paraId="421E60A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2.17 扫描助手或类似功能，为预先设定的扫描程序，包含了模式转换，功能选择，自动测量，注解显示，可以明显缩短检查时间。</w:t>
            </w:r>
          </w:p>
          <w:p w14:paraId="092B13A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 AI智能筛查系列技术</w:t>
            </w:r>
          </w:p>
          <w:p w14:paraId="3589DB4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3.1 智能中枢神经系统检查：人工智能（AI ）工具，基于深度学习算法支持，通过自动寻找成像切面位置，显示3D容积数据中的检查胎儿大脑的推荐切面和测量来帮助提高工作效率。自动识别胎儿颅脑4个标准平面，自动同时测量6组生物指标。</w:t>
            </w:r>
          </w:p>
          <w:p w14:paraId="3949961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▲3.2 智能先心病筛查技术：AI-胎心检查导航，通过文字说明、参考图像和正常解剖结构示意图，分步指导如何识别正常解剖结构及扫描流程。AI智能生成四腔心切面、三血管/三血管气管切面以及心轴角度</w:t>
            </w:r>
          </w:p>
          <w:p w14:paraId="4540672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3.3 智能盆底检查: 基于人工智能（AI），遵循国际规范,自动获得盆底测量，重复性好。自动寻找valsalva和缩肛状态下，最大裂孔平面位置;自动测量肛提肌裂孔的面积、周长、前后径和左右径。</w:t>
            </w:r>
          </w:p>
          <w:p w14:paraId="690EFFD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▲3.4 智能产筛切面识别：遵循 ISUOG 常规孕中期胎儿超声扫描实践指南，自动检测识别21个推荐切面。自动注释及测量。</w:t>
            </w:r>
          </w:p>
          <w:p w14:paraId="4996BA6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智能产筛质量控制，系统将获取的图像或切面与标准切面进行比较，以确保其符合临床标准。能够帮助提高准确性和质量，有解剖示意图和并可插入标准图像进行参考比较。防漏筛及确保最高图像质量标准和一致性。</w:t>
            </w:r>
          </w:p>
          <w:p w14:paraId="3F7C382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4.三维四维容积成像</w:t>
            </w:r>
          </w:p>
          <w:p w14:paraId="61E0DA0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4.1 支持高分辨率灰阶及血流三维成像模式。</w:t>
            </w:r>
          </w:p>
          <w:p w14:paraId="15A8547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4.2 断层超声显像，通过对于一个容积图像采用同屏的平行多切面显示方法，可以在立体空间X/Y/Z三个垂直切面进行平行的多切面同屏显示，并支持测量。</w:t>
            </w:r>
          </w:p>
          <w:p w14:paraId="2CDB7C6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▲4.3 容积探头自动偏转扫描技术，支持凸阵容积、线阵容积和腔内容积探头，无需转动探头即可在±40°范围内偏转扫查平面，降低检查难度。</w:t>
            </w:r>
          </w:p>
          <w:p w14:paraId="3966614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4.4 容积对比成像（立体空间复合成像），可以极大提高图像的对比分辨率和信噪比。</w:t>
            </w:r>
          </w:p>
          <w:p w14:paraId="3A306F0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4.5 容积智能斑点噪声抑制技术,可优化重建容积图像以及各个平面特别是冠状面上的图像品质。</w:t>
            </w:r>
          </w:p>
          <w:p w14:paraId="2707FB7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4.6 具有胎儿自动识别技术，可实时自动跟踪胎儿运动并调整容积成像框位置，快速获得胎儿表面容积成像，提高工作效率。</w:t>
            </w:r>
          </w:p>
          <w:p w14:paraId="552F23E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4.7 反转模式，采用特殊的算法提取低回声结构信息成像，提高显示的效果，可与STIC技术结合使用。</w:t>
            </w:r>
          </w:p>
          <w:p w14:paraId="714ECC6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4.8 自由解剖切面技术或类似技术，可选择直线、曲线、折线或任意曲线成像；可用于显示子宫内膜、胎儿四肢、脊柱、血管和狭窄程度、胎儿和新生儿颅脑、乳腺等。应用于3D/4D数据，也可用于回放的数据。</w:t>
            </w:r>
          </w:p>
          <w:p w14:paraId="3A4B623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4.9 卵泡智能容积成像，自动彩色编码显示，并按照体积大小排序及计数。</w:t>
            </w:r>
          </w:p>
          <w:p w14:paraId="0EABC34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4.10 专用窦卵泡智能容积成像，自动彩色编码显示，并按照体积大小排序及计数。</w:t>
            </w:r>
          </w:p>
          <w:p w14:paraId="3F14D95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4.11 智能无回声体积测量：用于低回声或液性暗区体积的智能测量和可视化，可用于早期胚胎发育（如卵黄囊）、胎儿脑室，膀胱，胃泡体积计算和可视化。</w:t>
            </w:r>
          </w:p>
          <w:p w14:paraId="3116A48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4.12 时间空间相关成像技术（STIC），可应用于 4D 胎儿心脏成像技术，无需心电导联线可计算心率；可应用于容积腹部和容积腔内探头</w:t>
            </w:r>
          </w:p>
          <w:p w14:paraId="5BA3D6C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4.13 STIC可结合M型，彩色M型和解剖M型分析.</w:t>
            </w:r>
          </w:p>
          <w:p w14:paraId="045BF67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4.14 STIC技术结合彩色多普勒的应用，可用于胎儿心脏、肿瘤、妇科等领域。通过时间空间相关技术可从各种角度显示肿瘤的内部结构，并结合彩色模式显示其三维血流动力学的改变。</w:t>
            </w:r>
          </w:p>
          <w:p w14:paraId="74450BE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4.15 胎心容积导航或智能胎心三维导航，通过对胎儿心脏容积数据的操作，2步自动获取包括四腔心、左室流出道、右室流出道、胃泡、静脉连接、导管弓、主动脉弓、三血管气管切面。并可同屏显示所有切面。</w:t>
            </w:r>
          </w:p>
          <w:p w14:paraId="726506F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4.16 具有四维穿刺引导功能或实时三维穿刺引导功能，有穿刺引导线。</w:t>
            </w:r>
          </w:p>
          <w:p w14:paraId="4F6B4B0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4.17 造影剂成像支持腔内容积探头，具有经阴道子宫输卵管三维超声造影，用来评价输卵管通畅性。</w:t>
            </w:r>
          </w:p>
          <w:p w14:paraId="0B8853E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4.18 智能三维产程监测功能或者宫颈机能智能评估功能或粘弹性成像。</w:t>
            </w:r>
          </w:p>
          <w:p w14:paraId="2EF5FC2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4.19 3D/4D成像功能，支持凸阵容积探头、腔内容积探头、线阵容积探头。</w:t>
            </w:r>
          </w:p>
          <w:p w14:paraId="4A44FD7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 测量和分析（B型、M型、频谱多普勒、彩色模式）</w:t>
            </w:r>
          </w:p>
          <w:p w14:paraId="4CF740C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5.1一般测量</w:t>
            </w:r>
          </w:p>
          <w:p w14:paraId="65E72AF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5.2多普勒血流测量与分析，具有自动包络功能</w:t>
            </w:r>
          </w:p>
          <w:p w14:paraId="3E18421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5.3妇产，心脏，血管，儿科等测量与分析</w:t>
            </w:r>
          </w:p>
          <w:p w14:paraId="1FA6431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5.4 胎儿生长指标自动测量功能，包括胎儿双顶径、枕额径、头围、腹围、股骨长、肱骨长</w:t>
            </w:r>
          </w:p>
          <w:p w14:paraId="075FF48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5.5 自动NT及自动IT测量技术</w:t>
            </w:r>
          </w:p>
          <w:p w14:paraId="5297899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5.6 自动胎心率测量技术或智能胎心率测量，自动快速获取胎儿心率。</w:t>
            </w:r>
          </w:p>
          <w:p w14:paraId="471E701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5.7 不规则体积测量技术，快速测量一个或多个低回声的不规则体的体积。</w:t>
            </w:r>
          </w:p>
          <w:p w14:paraId="0C2BF5B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5.8 容积能量模式直方图技术，可计算血管指数VI，FI和VFI.</w:t>
            </w:r>
          </w:p>
          <w:p w14:paraId="66BA88B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6.图像存储、管理及回放重现</w:t>
            </w:r>
          </w:p>
          <w:p w14:paraId="52D8AC8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6.1输入/输出信号：USB, HDMI, S-Video, VGA。</w:t>
            </w:r>
          </w:p>
          <w:p w14:paraId="483BD0B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6.2连通性：医学数字图像和通信DICOM 3.0</w:t>
            </w:r>
          </w:p>
          <w:p w14:paraId="097FD5A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6.3 超声图像存档与病案管理系统。</w:t>
            </w:r>
          </w:p>
          <w:p w14:paraId="5E44A27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6.4 回放重现：灰阶图像回放≥4000幅，四维图像回放≥400容积帧，回放时间≥180秒。</w:t>
            </w:r>
          </w:p>
          <w:p w14:paraId="2C2628C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▲6.5主机内置双硬盘：机械硬盘≥1TB +固态硬盘≥64GB，双硬盘优点保证存储和处理能力独立进行，提高机器启动、运行速度和稳定性。</w:t>
            </w:r>
          </w:p>
          <w:p w14:paraId="6535FDC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6.6 一体化剪帖板：(在屏幕上)可以存储和回放动态及静态图像。</w:t>
            </w:r>
          </w:p>
          <w:p w14:paraId="5CF6FF5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6.7 支持一键式输出3D打印格式，包括STL、OBJ、PLY、3MF、XYZ格式。</w:t>
            </w:r>
          </w:p>
          <w:p w14:paraId="0C84372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6.8主机一体化内置5个USB 3.0接口+≥4个 Type-C 数据传输接口.</w:t>
            </w:r>
          </w:p>
          <w:p w14:paraId="244BD22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7.二维灰阶及容积成像主要参数</w:t>
            </w:r>
          </w:p>
          <w:p w14:paraId="6BAFCDC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8.1 B/D兼用：线阵：B/PWD，CWD；凸阵：B/PWD，CWD；相控阵B/PWD，CWD.</w:t>
            </w:r>
          </w:p>
          <w:p w14:paraId="38A4EF4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7.2 帧频：凸阵探头，全视野，17cm深度时，在最高线密度下，二维最高帧频≥30帧/秒；凸阵容积探头，全视野，17cm深度时，四维成像最高帧频≥30帧/秒。</w:t>
            </w:r>
          </w:p>
          <w:p w14:paraId="6D5EDC1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7.3 数字集成化智能TGC分段≥8段</w:t>
            </w:r>
          </w:p>
          <w:p w14:paraId="5945785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▲7.4 标配二维凸阵探头最大有效探测深度≥50cm。</w:t>
            </w:r>
          </w:p>
          <w:p w14:paraId="391B2C2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7.5 回放重现：灰阶图像回放≥4000幅，四维图像回放≥400容积帧，回放时间≥180秒.</w:t>
            </w:r>
          </w:p>
          <w:p w14:paraId="5EE7330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▲7.6 系统处理通道或者数字通道≥1亿，系统动态范围≥400dB。</w:t>
            </w:r>
          </w:p>
          <w:p w14:paraId="645ECAB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7.7 预设条件 针对不同的检查脏器，预置最佳化图像的检查条件，减少操作时的调节，及常用所需的外部调节及组合调节。</w:t>
            </w:r>
          </w:p>
          <w:p w14:paraId="3F29165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8.频谱多普勒.</w:t>
            </w:r>
          </w:p>
          <w:p w14:paraId="3321437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8.1 方式：PW，CW</w:t>
            </w:r>
          </w:p>
          <w:p w14:paraId="17FDD1F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8.2 多普勒发射频率可视可调，中心频率明确显示.</w:t>
            </w:r>
          </w:p>
          <w:p w14:paraId="4B6BECF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8.3 PWD最大血流速度≥10m/s；CWD最大血流速度≥21m/s.</w:t>
            </w:r>
          </w:p>
          <w:p w14:paraId="5251496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 xml:space="preserve">8.4 最低测量速度：≤1mm/s </w:t>
            </w:r>
          </w:p>
          <w:p w14:paraId="1157561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8.5 零位移动：≥10级.</w:t>
            </w:r>
          </w:p>
          <w:p w14:paraId="3836717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8.6 取样宽度：0.2-20mm, 分级可调。</w:t>
            </w:r>
          </w:p>
          <w:p w14:paraId="2CD8A13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9.彩色多普勒</w:t>
            </w:r>
          </w:p>
          <w:p w14:paraId="632403F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9.1 显示方式：能量显示，速度显示、二维立体血流显示。</w:t>
            </w:r>
          </w:p>
          <w:p w14:paraId="22C286F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9.2 帧频：凸阵探头，90°开角，17cm深度时，最大彩色取样框，彩色最高帧频≥10帧/秒；凸阵容积探头，90°开角，17cm深度时，四维彩色最高成像帧频≥9帧/秒。</w:t>
            </w:r>
          </w:p>
          <w:p w14:paraId="6C5BBA8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 彩色增强功能：彩色多普勒能量图，方向性能量图。</w:t>
            </w:r>
          </w:p>
        </w:tc>
        <w:tc>
          <w:tcPr>
            <w:tcW w:w="454" w:type="pct"/>
            <w:tcBorders>
              <w:top w:val="single" w:color="auto" w:sz="4" w:space="0"/>
              <w:left w:val="nil"/>
              <w:bottom w:val="single" w:color="auto" w:sz="4" w:space="0"/>
              <w:right w:val="single" w:color="auto" w:sz="4" w:space="0"/>
            </w:tcBorders>
            <w:shd w:val="clear" w:color="auto" w:fill="FFFFFF"/>
            <w:vAlign w:val="center"/>
          </w:tcPr>
          <w:p w14:paraId="56425BFC">
            <w:pPr>
              <w:widowControl/>
              <w:tabs>
                <w:tab w:val="left" w:pos="900"/>
              </w:tabs>
              <w:jc w:val="center"/>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套</w:t>
            </w:r>
          </w:p>
        </w:tc>
        <w:tc>
          <w:tcPr>
            <w:tcW w:w="454" w:type="pct"/>
            <w:tcBorders>
              <w:top w:val="single" w:color="auto" w:sz="4" w:space="0"/>
              <w:left w:val="nil"/>
              <w:bottom w:val="single" w:color="auto" w:sz="4" w:space="0"/>
              <w:right w:val="single" w:color="auto" w:sz="4" w:space="0"/>
            </w:tcBorders>
            <w:shd w:val="clear" w:color="auto" w:fill="FFFFFF"/>
            <w:vAlign w:val="center"/>
          </w:tcPr>
          <w:p w14:paraId="39887B19">
            <w:pPr>
              <w:widowControl/>
              <w:tabs>
                <w:tab w:val="left" w:pos="900"/>
              </w:tabs>
              <w:jc w:val="center"/>
              <w:textAlignment w:val="center"/>
              <w:rPr>
                <w:rFonts w:hint="default" w:ascii="宋体" w:hAnsi="宋体" w:eastAsia="宋体" w:cs="Arial"/>
                <w:color w:val="auto"/>
                <w:kern w:val="0"/>
                <w:sz w:val="24"/>
                <w:szCs w:val="24"/>
                <w:highlight w:val="none"/>
                <w:lang w:val="en-US" w:eastAsia="zh-CN"/>
              </w:rPr>
            </w:pPr>
            <w:r>
              <w:rPr>
                <w:rFonts w:hint="eastAsia" w:ascii="宋体" w:hAnsi="宋体" w:eastAsia="宋体" w:cs="Arial"/>
                <w:color w:val="auto"/>
                <w:kern w:val="0"/>
                <w:sz w:val="24"/>
                <w:szCs w:val="24"/>
                <w:highlight w:val="none"/>
                <w:lang w:val="en-US" w:eastAsia="zh-CN"/>
              </w:rPr>
              <w:t>1</w:t>
            </w:r>
          </w:p>
        </w:tc>
        <w:tc>
          <w:tcPr>
            <w:tcW w:w="618" w:type="pct"/>
            <w:tcBorders>
              <w:top w:val="single" w:color="auto" w:sz="4" w:space="0"/>
              <w:left w:val="nil"/>
              <w:bottom w:val="single" w:color="auto" w:sz="4" w:space="0"/>
              <w:right w:val="single" w:color="auto" w:sz="4" w:space="0"/>
            </w:tcBorders>
            <w:vAlign w:val="center"/>
          </w:tcPr>
          <w:p w14:paraId="7107C3E0">
            <w:pPr>
              <w:widowControl/>
              <w:jc w:val="center"/>
              <w:rPr>
                <w:rFonts w:hint="eastAsia" w:ascii="宋体" w:hAnsi="宋体" w:eastAsia="宋体" w:cs="Arial"/>
                <w:color w:val="auto"/>
                <w:kern w:val="0"/>
                <w:sz w:val="24"/>
                <w:szCs w:val="24"/>
                <w:highlight w:val="none"/>
                <w:lang w:val="en-US" w:eastAsia="zh-CN"/>
              </w:rPr>
            </w:pPr>
            <w:r>
              <w:rPr>
                <w:rFonts w:hint="eastAsia" w:ascii="宋体" w:hAnsi="宋体" w:eastAsia="宋体" w:cs="Arial"/>
                <w:color w:val="auto"/>
                <w:kern w:val="0"/>
                <w:sz w:val="24"/>
                <w:szCs w:val="24"/>
                <w:highlight w:val="none"/>
                <w:lang w:val="en-US" w:eastAsia="zh-CN"/>
              </w:rPr>
              <w:t>否</w:t>
            </w:r>
          </w:p>
        </w:tc>
      </w:tr>
    </w:tbl>
    <w:p w14:paraId="5C575A6D">
      <w:pPr>
        <w:spacing w:line="360" w:lineRule="auto"/>
        <w:rPr>
          <w:rFonts w:hint="eastAsia" w:ascii="宋体" w:hAnsi="宋体" w:eastAsia="宋体" w:cs="宋体"/>
          <w:bCs/>
          <w:color w:val="auto"/>
          <w:sz w:val="24"/>
          <w:szCs w:val="24"/>
          <w:highlight w:val="none"/>
        </w:rPr>
      </w:pPr>
    </w:p>
    <w:p w14:paraId="4FBD0749">
      <w:pPr>
        <w:keepNext w:val="0"/>
        <w:keepLines w:val="0"/>
        <w:pageBreakBefore/>
        <w:widowControl w:val="0"/>
        <w:kinsoku/>
        <w:wordWrap/>
        <w:overflowPunct/>
        <w:topLinePunct w:val="0"/>
        <w:autoSpaceDE/>
        <w:autoSpaceDN/>
        <w:bidi w:val="0"/>
        <w:adjustRightInd/>
        <w:snapToGrid/>
        <w:spacing w:line="360" w:lineRule="auto"/>
        <w:ind w:firstLine="437"/>
        <w:textAlignment w:val="auto"/>
        <w:outlineLvl w:val="2"/>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0</w:t>
      </w:r>
      <w:r>
        <w:rPr>
          <w:rFonts w:hint="eastAsia" w:ascii="宋体"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rPr>
        <w:t>包：</w:t>
      </w:r>
    </w:p>
    <w:tbl>
      <w:tblPr>
        <w:tblStyle w:val="2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5"/>
        <w:gridCol w:w="1442"/>
        <w:gridCol w:w="3882"/>
        <w:gridCol w:w="774"/>
        <w:gridCol w:w="774"/>
        <w:gridCol w:w="1055"/>
      </w:tblGrid>
      <w:tr w14:paraId="5FA00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9" w:type="pct"/>
            <w:tcBorders>
              <w:top w:val="single" w:color="auto" w:sz="4" w:space="0"/>
              <w:left w:val="single" w:color="auto" w:sz="4" w:space="0"/>
              <w:bottom w:val="single" w:color="auto" w:sz="4" w:space="0"/>
              <w:right w:val="single" w:color="auto" w:sz="4" w:space="0"/>
            </w:tcBorders>
            <w:shd w:val="clear" w:color="auto" w:fill="FFFFFF"/>
            <w:vAlign w:val="center"/>
          </w:tcPr>
          <w:p w14:paraId="1AA58693">
            <w:pPr>
              <w:widowControl/>
              <w:tabs>
                <w:tab w:val="left" w:pos="420"/>
                <w:tab w:val="left" w:pos="900"/>
              </w:tabs>
              <w:jc w:val="center"/>
              <w:rPr>
                <w:rFonts w:hint="eastAsia" w:ascii="宋体" w:hAnsi="宋体" w:eastAsia="宋体" w:cs="Arial"/>
                <w:b/>
                <w:bCs/>
                <w:color w:val="auto"/>
                <w:kern w:val="0"/>
                <w:sz w:val="24"/>
                <w:szCs w:val="24"/>
                <w:highlight w:val="none"/>
              </w:rPr>
            </w:pPr>
            <w:r>
              <w:rPr>
                <w:rFonts w:hint="eastAsia" w:ascii="宋体" w:hAnsi="宋体" w:eastAsia="宋体" w:cs="Arial"/>
                <w:b/>
                <w:bCs/>
                <w:color w:val="auto"/>
                <w:kern w:val="0"/>
                <w:sz w:val="24"/>
                <w:szCs w:val="24"/>
                <w:highlight w:val="none"/>
              </w:rPr>
              <w:t>序号</w:t>
            </w:r>
          </w:p>
        </w:tc>
        <w:tc>
          <w:tcPr>
            <w:tcW w:w="846" w:type="pct"/>
            <w:tcBorders>
              <w:top w:val="single" w:color="auto" w:sz="4" w:space="0"/>
              <w:left w:val="nil"/>
              <w:bottom w:val="single" w:color="auto" w:sz="4" w:space="0"/>
              <w:right w:val="single" w:color="auto" w:sz="4" w:space="0"/>
            </w:tcBorders>
            <w:shd w:val="clear" w:color="auto" w:fill="FFFFFF"/>
            <w:vAlign w:val="center"/>
          </w:tcPr>
          <w:p w14:paraId="1E2C1A16">
            <w:pPr>
              <w:widowControl/>
              <w:tabs>
                <w:tab w:val="left" w:pos="420"/>
                <w:tab w:val="left" w:pos="900"/>
              </w:tabs>
              <w:jc w:val="center"/>
              <w:rPr>
                <w:rFonts w:hint="eastAsia" w:ascii="宋体" w:hAnsi="宋体" w:eastAsia="宋体" w:cs="Arial"/>
                <w:b/>
                <w:bCs/>
                <w:color w:val="auto"/>
                <w:kern w:val="0"/>
                <w:sz w:val="24"/>
                <w:szCs w:val="24"/>
                <w:highlight w:val="none"/>
              </w:rPr>
            </w:pPr>
            <w:r>
              <w:rPr>
                <w:rFonts w:hint="eastAsia" w:ascii="宋体" w:hAnsi="宋体" w:eastAsia="宋体" w:cs="Arial"/>
                <w:b/>
                <w:bCs/>
                <w:color w:val="auto"/>
                <w:kern w:val="0"/>
                <w:sz w:val="24"/>
                <w:szCs w:val="24"/>
                <w:highlight w:val="none"/>
              </w:rPr>
              <w:t>货物名称</w:t>
            </w:r>
          </w:p>
        </w:tc>
        <w:tc>
          <w:tcPr>
            <w:tcW w:w="2277" w:type="pct"/>
            <w:tcBorders>
              <w:top w:val="single" w:color="auto" w:sz="4" w:space="0"/>
              <w:left w:val="nil"/>
              <w:bottom w:val="single" w:color="auto" w:sz="4" w:space="0"/>
              <w:right w:val="single" w:color="auto" w:sz="4" w:space="0"/>
            </w:tcBorders>
            <w:shd w:val="clear" w:color="auto" w:fill="FFFFFF"/>
            <w:vAlign w:val="center"/>
          </w:tcPr>
          <w:p w14:paraId="4990032F">
            <w:pPr>
              <w:widowControl/>
              <w:tabs>
                <w:tab w:val="left" w:pos="420"/>
                <w:tab w:val="left" w:pos="900"/>
              </w:tabs>
              <w:jc w:val="center"/>
              <w:rPr>
                <w:rFonts w:hint="eastAsia" w:ascii="宋体" w:hAnsi="宋体" w:eastAsia="宋体" w:cs="Arial"/>
                <w:b/>
                <w:bCs/>
                <w:color w:val="auto"/>
                <w:kern w:val="0"/>
                <w:sz w:val="24"/>
                <w:szCs w:val="24"/>
                <w:highlight w:val="none"/>
              </w:rPr>
            </w:pPr>
            <w:r>
              <w:rPr>
                <w:rFonts w:hint="eastAsia" w:ascii="宋体" w:hAnsi="宋体" w:eastAsia="宋体" w:cs="Arial"/>
                <w:b/>
                <w:bCs/>
                <w:color w:val="auto"/>
                <w:kern w:val="0"/>
                <w:sz w:val="24"/>
                <w:szCs w:val="24"/>
                <w:highlight w:val="none"/>
              </w:rPr>
              <w:t>技术参数及要求</w:t>
            </w:r>
          </w:p>
        </w:tc>
        <w:tc>
          <w:tcPr>
            <w:tcW w:w="454" w:type="pct"/>
            <w:tcBorders>
              <w:top w:val="single" w:color="auto" w:sz="4" w:space="0"/>
              <w:left w:val="nil"/>
              <w:bottom w:val="single" w:color="auto" w:sz="4" w:space="0"/>
              <w:right w:val="single" w:color="auto" w:sz="4" w:space="0"/>
            </w:tcBorders>
            <w:shd w:val="clear" w:color="auto" w:fill="FFFFFF"/>
            <w:vAlign w:val="center"/>
          </w:tcPr>
          <w:p w14:paraId="4198C084">
            <w:pPr>
              <w:widowControl/>
              <w:tabs>
                <w:tab w:val="left" w:pos="420"/>
                <w:tab w:val="left" w:pos="900"/>
              </w:tabs>
              <w:jc w:val="center"/>
              <w:rPr>
                <w:rFonts w:hint="eastAsia" w:ascii="宋体" w:hAnsi="宋体" w:eastAsia="宋体" w:cs="Arial"/>
                <w:b/>
                <w:bCs/>
                <w:color w:val="auto"/>
                <w:kern w:val="0"/>
                <w:sz w:val="24"/>
                <w:szCs w:val="24"/>
                <w:highlight w:val="none"/>
              </w:rPr>
            </w:pPr>
            <w:r>
              <w:rPr>
                <w:rFonts w:hint="eastAsia" w:ascii="宋体" w:hAnsi="宋体" w:eastAsia="宋体" w:cs="Arial"/>
                <w:b/>
                <w:bCs/>
                <w:color w:val="auto"/>
                <w:kern w:val="0"/>
                <w:sz w:val="24"/>
                <w:szCs w:val="24"/>
                <w:highlight w:val="none"/>
              </w:rPr>
              <w:t>单位</w:t>
            </w:r>
          </w:p>
        </w:tc>
        <w:tc>
          <w:tcPr>
            <w:tcW w:w="454" w:type="pct"/>
            <w:tcBorders>
              <w:top w:val="single" w:color="auto" w:sz="4" w:space="0"/>
              <w:left w:val="nil"/>
              <w:bottom w:val="single" w:color="auto" w:sz="4" w:space="0"/>
              <w:right w:val="single" w:color="auto" w:sz="4" w:space="0"/>
            </w:tcBorders>
            <w:shd w:val="clear" w:color="auto" w:fill="FFFFFF"/>
            <w:vAlign w:val="center"/>
          </w:tcPr>
          <w:p w14:paraId="52C6A060">
            <w:pPr>
              <w:widowControl/>
              <w:tabs>
                <w:tab w:val="left" w:pos="420"/>
                <w:tab w:val="left" w:pos="900"/>
              </w:tabs>
              <w:jc w:val="center"/>
              <w:rPr>
                <w:rFonts w:hint="eastAsia" w:ascii="宋体" w:hAnsi="宋体" w:eastAsia="宋体" w:cs="Arial"/>
                <w:b/>
                <w:bCs/>
                <w:color w:val="auto"/>
                <w:kern w:val="0"/>
                <w:sz w:val="24"/>
                <w:szCs w:val="24"/>
                <w:highlight w:val="none"/>
              </w:rPr>
            </w:pPr>
            <w:r>
              <w:rPr>
                <w:rFonts w:hint="eastAsia" w:ascii="宋体" w:hAnsi="宋体" w:eastAsia="宋体" w:cs="Arial"/>
                <w:b/>
                <w:bCs/>
                <w:color w:val="auto"/>
                <w:kern w:val="0"/>
                <w:sz w:val="24"/>
                <w:szCs w:val="24"/>
                <w:highlight w:val="none"/>
              </w:rPr>
              <w:t>采购数量</w:t>
            </w:r>
          </w:p>
        </w:tc>
        <w:tc>
          <w:tcPr>
            <w:tcW w:w="618" w:type="pct"/>
            <w:tcBorders>
              <w:top w:val="single" w:color="auto" w:sz="4" w:space="0"/>
              <w:left w:val="nil"/>
              <w:bottom w:val="single" w:color="auto" w:sz="4" w:space="0"/>
              <w:right w:val="single" w:color="auto" w:sz="4" w:space="0"/>
            </w:tcBorders>
            <w:shd w:val="clear" w:color="auto" w:fill="FFFFFF"/>
            <w:vAlign w:val="center"/>
          </w:tcPr>
          <w:p w14:paraId="5BE60467">
            <w:pPr>
              <w:widowControl/>
              <w:tabs>
                <w:tab w:val="left" w:pos="420"/>
                <w:tab w:val="left" w:pos="900"/>
              </w:tabs>
              <w:jc w:val="center"/>
              <w:rPr>
                <w:rFonts w:hint="eastAsia" w:ascii="宋体" w:hAnsi="宋体" w:eastAsia="宋体" w:cs="Arial"/>
                <w:b/>
                <w:bCs/>
                <w:color w:val="auto"/>
                <w:kern w:val="0"/>
                <w:sz w:val="24"/>
                <w:szCs w:val="24"/>
                <w:highlight w:val="none"/>
              </w:rPr>
            </w:pPr>
            <w:r>
              <w:rPr>
                <w:rFonts w:hint="eastAsia" w:ascii="宋体" w:hAnsi="宋体" w:eastAsia="宋体" w:cs="Arial"/>
                <w:b/>
                <w:bCs/>
                <w:color w:val="auto"/>
                <w:kern w:val="0"/>
                <w:sz w:val="24"/>
                <w:szCs w:val="24"/>
                <w:highlight w:val="none"/>
              </w:rPr>
              <w:t>是否为核心产品</w:t>
            </w:r>
          </w:p>
        </w:tc>
      </w:tr>
      <w:tr w14:paraId="367D1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9" w:type="pct"/>
            <w:tcBorders>
              <w:top w:val="single" w:color="auto" w:sz="4" w:space="0"/>
              <w:left w:val="single" w:color="auto" w:sz="4" w:space="0"/>
              <w:bottom w:val="single" w:color="auto" w:sz="4" w:space="0"/>
              <w:right w:val="single" w:color="auto" w:sz="4" w:space="0"/>
            </w:tcBorders>
            <w:shd w:val="clear" w:color="auto" w:fill="FFFFFF"/>
            <w:vAlign w:val="center"/>
          </w:tcPr>
          <w:p w14:paraId="31F8562C">
            <w:pPr>
              <w:widowControl/>
              <w:tabs>
                <w:tab w:val="left" w:pos="420"/>
                <w:tab w:val="left" w:pos="900"/>
              </w:tabs>
              <w:jc w:val="center"/>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w:t>
            </w:r>
          </w:p>
        </w:tc>
        <w:tc>
          <w:tcPr>
            <w:tcW w:w="846" w:type="pct"/>
            <w:tcBorders>
              <w:top w:val="single" w:color="auto" w:sz="4" w:space="0"/>
              <w:left w:val="nil"/>
              <w:bottom w:val="single" w:color="auto" w:sz="4" w:space="0"/>
              <w:right w:val="single" w:color="auto" w:sz="4" w:space="0"/>
            </w:tcBorders>
            <w:shd w:val="clear" w:color="auto" w:fill="FFFFFF"/>
            <w:vAlign w:val="center"/>
          </w:tcPr>
          <w:p w14:paraId="5D998753">
            <w:pPr>
              <w:widowControl/>
              <w:tabs>
                <w:tab w:val="left" w:pos="900"/>
              </w:tabs>
              <w:jc w:val="center"/>
              <w:textAlignment w:val="center"/>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彩超（经直肠双平面）</w:t>
            </w:r>
          </w:p>
        </w:tc>
        <w:tc>
          <w:tcPr>
            <w:tcW w:w="2277" w:type="pct"/>
            <w:tcBorders>
              <w:top w:val="single" w:color="auto" w:sz="4" w:space="0"/>
              <w:left w:val="nil"/>
              <w:bottom w:val="single" w:color="auto" w:sz="4" w:space="0"/>
              <w:right w:val="single" w:color="auto" w:sz="4" w:space="0"/>
            </w:tcBorders>
            <w:shd w:val="clear" w:color="auto" w:fill="FFFFFF"/>
            <w:vAlign w:val="center"/>
          </w:tcPr>
          <w:p w14:paraId="2E4FFD8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一、用途：主要用于腹部、妇产科、心脏、外周血管、小器官等方面的临床超声诊断。</w:t>
            </w:r>
          </w:p>
          <w:p w14:paraId="5720274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二、技术要求</w:t>
            </w:r>
          </w:p>
          <w:p w14:paraId="0030CE3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 彩色多普勒超声波诊断仪主机系统：</w:t>
            </w:r>
          </w:p>
          <w:p w14:paraId="3225ADE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 ≥24英寸高清液晶显示器，配置自由旋转臂，全方位可调</w:t>
            </w:r>
          </w:p>
          <w:p w14:paraId="1F111B5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▲2.1.2 ≥15英寸高清彩色液晶触摸屏，具备同屏显示（显示器与触摸屏同时显示实时/既往或第三方影像图像），滑屏翻页功能及手势操作功能，支持TGC增益调节</w:t>
            </w:r>
          </w:p>
          <w:p w14:paraId="3DD497D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2.1.3 全数字化超声平台，全数字多路波束形成器</w:t>
            </w:r>
          </w:p>
          <w:p w14:paraId="188875A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2.1.4 二维灰阶成像单元及M型显像单元。</w:t>
            </w:r>
          </w:p>
          <w:p w14:paraId="34DBA70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2.1.5 彩色多普勒血流成像。</w:t>
            </w:r>
          </w:p>
          <w:p w14:paraId="790AF26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2.1.6 频谱多普勒 （脉冲波及连续波） 显示及分析单元。</w:t>
            </w:r>
          </w:p>
          <w:p w14:paraId="07D5FD8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2.1.7 实时自动多普勒包络测量功能。</w:t>
            </w:r>
          </w:p>
          <w:p w14:paraId="52FE044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2.1.8 穿刺针增强技术，提高穿刺介入时穿刺针显影。</w:t>
            </w:r>
          </w:p>
          <w:p w14:paraId="7B96F15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2.1.9 一键启动自定义的操作流程，可自定义检查的模式和顺序，并自动标注缩写符号。可以按顺序定义成像的模式2D, CFM, PW等，完成一项设定的成像扫描程序冻结存储图像，自动完成缩写标识；按顺序进入到下一个预设的成像模式，以此类推；单键触发，提升检查的效率和工作舒适度。</w:t>
            </w:r>
          </w:p>
          <w:p w14:paraId="0CAE299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2.1.10 自动产科测量技术。</w:t>
            </w:r>
          </w:p>
          <w:p w14:paraId="0B68A79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2.1.11 自动颈项透明层测量技术，自动颅内透明层测量技术</w:t>
            </w:r>
          </w:p>
          <w:p w14:paraId="716E36D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2.1.12 多影像实时随访：可直接获取和浏览CT/MR，X线/超声的DICOM图像，同屏对比既往和目前的超声图像，回顾实时的、存储的、输出的图像进行对比诊断</w:t>
            </w:r>
          </w:p>
          <w:p w14:paraId="3EB44F0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2.1.13主机支持中文显示及输入</w:t>
            </w:r>
          </w:p>
          <w:p w14:paraId="2EBD8C0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2.1.14 在机图文临床应用教程，提供多个应用领域专业图文库的超声特色操作应用教程，超声扫查图像结构与组织解剖结构的实时预览，并支持实时扫查。帮助临床医生或初级超声医生快速适应超声图像的鉴别。</w:t>
            </w:r>
          </w:p>
          <w:p w14:paraId="7E073FC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2.2 具备多种图像优化技术：</w:t>
            </w:r>
          </w:p>
          <w:p w14:paraId="196E2CE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 组织谐波成像技术，作用于全身扫查应用，提高图像信噪比。</w:t>
            </w:r>
          </w:p>
          <w:p w14:paraId="3C2717F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2.1.2 梯形扩展成像技术，增大扫查视野，包括左右扩展和远端凸型拓展</w:t>
            </w:r>
          </w:p>
          <w:p w14:paraId="4BED390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2.1.3全场动态聚焦成像技术，既超声波束全程发射及全程接收聚焦，使扫查区域无焦点显示近、中、远场图像均匀一致。</w:t>
            </w:r>
          </w:p>
          <w:p w14:paraId="4FA2FC1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2.1.4 声速匹配成像，调节超声波速度值，以便在成像区域内获得更佳的横向分辨力。</w:t>
            </w:r>
          </w:p>
          <w:p w14:paraId="12DDEBD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2.1.5 宽景成像技术，可应用于灰阶、彩色及能量多普勒宽景成像，配备缩放功能和测量计算。可应用于腹部、高频、腔内等探头。</w:t>
            </w:r>
          </w:p>
          <w:p w14:paraId="395B4FE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2.1.6 高清放大成像，具备冻结或实时高清多级放大功能，最大级别达50倍。</w:t>
            </w:r>
          </w:p>
          <w:p w14:paraId="29CDEA0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2.1.7 具备编码脉冲成像，根据不同检查深度，均衡发射脉冲频率，提高穿透性的同时提高远场分辨率。</w:t>
            </w:r>
          </w:p>
          <w:p w14:paraId="0FA1465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2.1.8 斑点噪声抑制技术，包括智能声束调整、信号斑点噪声抑制、像素优化调整等多种提升成像质量的技术，作用每个像素,消除了图像的斑点和噪声</w:t>
            </w:r>
          </w:p>
          <w:p w14:paraId="130E8B7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2.1.9 实时多声束空间复合成像技术，多角度观察，可联合彩色模式、斑点噪声制技术、谐波技术及凸型扩展等技术应用。</w:t>
            </w:r>
          </w:p>
          <w:p w14:paraId="5D33ED6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2.1.10 智能图像扫描技术,一键优化，作用于2D及Doppler，自动调节增益,标尺等参数。</w:t>
            </w:r>
          </w:p>
          <w:p w14:paraId="692F377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2.1.11实时自动图像优化技术，优化组织特性，匹配不同组织的声阻抗，增加二维图像明亮度/对比度。</w:t>
            </w:r>
          </w:p>
          <w:p w14:paraId="0D2AA51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4.3 具备血流成像优化技术：</w:t>
            </w:r>
          </w:p>
          <w:p w14:paraId="33CE7BD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2.3.1 方向性精细血流成像，采集血流背向散射信号，特别是针对细小血流，具有超强的血流多普勒信号灵敏度。</w:t>
            </w:r>
          </w:p>
          <w:p w14:paraId="74D462D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2.3.2 高清血流成像，提高血流信号的敏感性及空间分辨率有别于常规的彩色多普勒和方向性能量图功能。</w:t>
            </w:r>
          </w:p>
          <w:p w14:paraId="0117ED6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2.3.3 微血管增强显像技术，在有效保证帧频的前提下，去除背景噪声，降低周边强回声结构信息干扰，保证清晰可视细小血管和低速血流，具备5种成像方式显示，并具备HFR模式有效提高帧频速率和血流敏感性</w:t>
            </w:r>
          </w:p>
          <w:p w14:paraId="532C5BD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2.3.4立体血流成像，二维血流显示立体效果，突出血流敏感及直观性。</w:t>
            </w:r>
          </w:p>
          <w:p w14:paraId="1D04EC8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2.3.5血管自动追踪技术，自动优化取样框位置及取样角度。</w:t>
            </w:r>
          </w:p>
          <w:p w14:paraId="68B958A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2.4 系统高端特色应用功能：</w:t>
            </w:r>
          </w:p>
          <w:p w14:paraId="5626A0B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 xml:space="preserve">2.4.1 组织多普勒成像技术具有多种应用模式，并可对室壁进行速度、加速度的测量和分析； </w:t>
            </w:r>
          </w:p>
          <w:p w14:paraId="7D2DE2A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2.4.2 选配心脏解剖M型成像技术，M型取样线可360度任意旋转，并可同时设定3条自由角度取样线。同时显示同一时相三条线上组织M型信息，实现在同一个心动周期中，在同一时相对不同的心肌节段、瓣膜进行对比观察和测量分析</w:t>
            </w:r>
          </w:p>
          <w:p w14:paraId="2EDD06D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2.4.3 选配左心功能自动测量技术，基于动态二维实时斑点追踪技术，实时跟踪左心内膜，测定即时左心容量，以曲线形式报告集成。同时参数显示左心功能Vs收缩期容量、Vd舒张期容量及EF射血分数。</w:t>
            </w:r>
          </w:p>
          <w:p w14:paraId="0F36362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4,4,4 选配心脏血流矢量成像，展示心脏内血液涡流的技术，在心动周期中可以显示血流速度向量</w:t>
            </w:r>
          </w:p>
          <w:p w14:paraId="46CD1A2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▲2.4.5 造影成像功能</w:t>
            </w:r>
          </w:p>
          <w:p w14:paraId="296CC18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2.2.5.1 对发射脉冲频带及能量的精确双控制（超声屏幕可视MI机械指数和DP声压指数），使脉冲信号最佳匹配造影剂微泡的非线性响应，从而获得纯净的造影回波信号。通过调节DP指数,可直接调节MI机械指数。</w:t>
            </w:r>
          </w:p>
          <w:p w14:paraId="6780B21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2.2.5.2 造影灌注时相可调，可一键切换动脉相与延迟相。</w:t>
            </w:r>
          </w:p>
          <w:p w14:paraId="076699B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2.2.5.3 具有低MI实时灌注成像和高MI造影成像，满足各种类型的造影剂应用</w:t>
            </w:r>
          </w:p>
          <w:p w14:paraId="5EE3F27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2.2.5.4 造影技术可用于凸阵、线阵、相控阵、容积、微凸等探头实时造影，具有造影双幅动态显示和一键转换调节功能，造影动态图像连续长时间不间断采集</w:t>
            </w:r>
          </w:p>
          <w:p w14:paraId="2620857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2.2.5.5 在机定量分析技术,可以对造影剂峰值强度、灌注曲线下面积、到达灌注峰值时间等多参数进行定量分析评估，并支持多普勒（血流）定量分析</w:t>
            </w:r>
          </w:p>
          <w:p w14:paraId="738A464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▲2.4.6 原始射频信号血管内中膜测量技术及血管弹性精准定量技术</w:t>
            </w:r>
          </w:p>
          <w:p w14:paraId="153F4DC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2.4.6.1 基于原始的超声波射频信号，在实时B模式下，在1～6心动周期内自动对6个时刻点的内中膜厚度、颈总动脉内径进行测量，并计算平均值和标准差值。</w:t>
            </w:r>
          </w:p>
          <w:p w14:paraId="1C9F08B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2.4.6.2 测量精度达微米级别，不受图像增益及扫查深度变化影响</w:t>
            </w:r>
          </w:p>
          <w:p w14:paraId="67C68D4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2.4.6.3 射频信号实时自动血管弹性评估技术，基于原始超声波射频信号，在实时B模式下，自动测量血管脉搏波传导速度, 获得血管内膜弹性系数，血管内膜僵硬度等多个参数。</w:t>
            </w:r>
          </w:p>
          <w:p w14:paraId="1092E52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2.4.6.4 结合ECG电生理信号，测量脉搏波传导速度和血管扩张值，结合所记录局部血压（局部收缩压或舒张压 Loc PSys/PDia），分析获得血管功能多个参数，如血管扩张性系数、血管顺应性系数、血管硬度指数、血管硬化系数。分析血管压力波形图，获取局部血管压力定量。</w:t>
            </w:r>
          </w:p>
          <w:p w14:paraId="57D10D7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2.4.6.5 报告模式支持左/右侧颈动脉血管指数对比显示、与数据库对比和预期值显示，从而评估被检者的血管年龄与实际年龄匹配程度。</w:t>
            </w:r>
          </w:p>
          <w:p w14:paraId="7534567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2.4.7 组织弹性成像及定量</w:t>
            </w:r>
          </w:p>
          <w:p w14:paraId="0A77EC3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2.4.7.1 利用非相干的射频信号频谱应变评估法，分析肿瘤或其他病变区域与周围正常组织间弹性系数的差异、在外部压力作用下产生应变大小的不同，以黑白、伪彩或彩色编码的方式显示，来判别病变组织的弹性大小，从而实现临床应用中的鉴别诊断。</w:t>
            </w:r>
          </w:p>
          <w:p w14:paraId="3B636B5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▲2.4.7.2 可应用于凸阵探头、线阵探头、腔内（包括双平面腔内），具备乳腺、甲状腺、前列腺、肝脏等全方面应用领域</w:t>
            </w:r>
          </w:p>
          <w:p w14:paraId="6EAE651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2.4.8 选配心肌应变成像技术，采用心脏室壁追踪技术，在二维图像上以矢量方式重叠显示。（用于心脏应变力、应变率、曲线解剖M型等定量及半定量分析），并可同时定量分析心内、外膜运动心肌的应变、应变率数据。</w:t>
            </w:r>
          </w:p>
          <w:p w14:paraId="57B3E34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2.2.8.1 选配心肌4D应变成像，利用二维心脏探头，获取心脏四维容积数据（应变及应变率），用于整体、局部心肌功能参数分析，可同时心内、外膜独立或联合参数分析。</w:t>
            </w:r>
          </w:p>
          <w:p w14:paraId="0FF7EDA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2.4.9 选配心脏负荷超声成像技术</w:t>
            </w:r>
          </w:p>
          <w:p w14:paraId="08FCC4E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2.4.10 选配融合成像技术</w:t>
            </w:r>
          </w:p>
          <w:p w14:paraId="143C880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2.4.10.1 利用空间磁定位系统，将超声图像与第二影像立体数据（CT/MR/PET）进行融合，实现实时对照诊断、精准导航和微创治疗。</w:t>
            </w:r>
          </w:p>
          <w:p w14:paraId="72E62B9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2.4.10.2 融合成像方式，具有实时超声图像与第二影像（CT/MRI/PET/Volume-US）融合，包括实时超声图像与容积超声图像/容积超声造影图像融合。</w:t>
            </w:r>
          </w:p>
          <w:p w14:paraId="35C3151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2.4.10.3 图像融合模式，具有实时超声图像与其它影像（CT/MRI/PET/Volume-US）中任意二者融合即三影像进行融合。</w:t>
            </w:r>
          </w:p>
          <w:p w14:paraId="7398297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2.4.10.4 具备体内定标，分别是单点定标法、平面定标法、血管智能对位。</w:t>
            </w:r>
          </w:p>
          <w:p w14:paraId="3BACC43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2.4.10.5 可增加体外定标，体外定标分别是多点定标法和自动定标法。</w:t>
            </w:r>
          </w:p>
          <w:p w14:paraId="5269377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2.4.10.6 可增加呼吸校正和体位运动补偿功能，具有系统纠错反馈系统，确保融合对位更加精准。</w:t>
            </w:r>
          </w:p>
          <w:p w14:paraId="4DB85D8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▲2.4.10.7 融合成像可应用于凸阵、微凸、0角度穿刺凸阵探头、线阵、腔内，双平面腔内、相控阵探头。</w:t>
            </w:r>
          </w:p>
          <w:p w14:paraId="3A05DCE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▲2.4.11 选配乳腺融合技术</w:t>
            </w:r>
          </w:p>
          <w:p w14:paraId="476AA3A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2.4.11.1 乳腺融合模式，使用乳房3D成像定位配准，无需压迫乳腺组织</w:t>
            </w:r>
          </w:p>
          <w:p w14:paraId="44B574C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2.4.11.2 提供扫查区域的实时反馈，并显示探头扫查区域的乳房3D全景成像，并显示完整的探头扫查轨迹，支持后期分析</w:t>
            </w:r>
          </w:p>
          <w:p w14:paraId="3BB09EC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2.5 测量与分析 (B型、M型、频谱多普勒、彩色模式)</w:t>
            </w:r>
          </w:p>
          <w:p w14:paraId="7E625B4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2.5.1 一般测量</w:t>
            </w:r>
          </w:p>
          <w:p w14:paraId="344C55C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2.5.2 妇、产科测量</w:t>
            </w:r>
          </w:p>
          <w:p w14:paraId="13526B1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2.5.3 心脏功能测量</w:t>
            </w:r>
          </w:p>
          <w:p w14:paraId="4C382CE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2.5.4 多普勒血流测量与分析</w:t>
            </w:r>
          </w:p>
          <w:p w14:paraId="375B838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2.5.5 外周血管测量与分析</w:t>
            </w:r>
          </w:p>
          <w:p w14:paraId="0BE9679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2.5.6 自动多普勒血流测量与分析</w:t>
            </w:r>
          </w:p>
          <w:p w14:paraId="0509B12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2.6 图像存储与(电影)回放重现单元</w:t>
            </w:r>
          </w:p>
          <w:p w14:paraId="261799A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2.7 信号输入/输出：</w:t>
            </w:r>
          </w:p>
          <w:p w14:paraId="315F826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2.7.1 输出信号：高清输出接口。</w:t>
            </w:r>
          </w:p>
          <w:p w14:paraId="4939851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2.7.2参考信号：心电、心音。</w:t>
            </w:r>
          </w:p>
          <w:p w14:paraId="06170AA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2.8 数据连通性：</w:t>
            </w:r>
          </w:p>
          <w:p w14:paraId="5B6636D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2.8.1 医学数字图像传输</w:t>
            </w:r>
          </w:p>
          <w:p w14:paraId="3344AE0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 xml:space="preserve">2.8.2 有线/无线数据传输系统。 </w:t>
            </w:r>
          </w:p>
          <w:p w14:paraId="439BD3D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2.8.3 DICOM3.0接口图像传输部件</w:t>
            </w:r>
          </w:p>
          <w:p w14:paraId="2ED5F5D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4.9 图像管理与记录装置：</w:t>
            </w:r>
          </w:p>
          <w:p w14:paraId="33FC0E4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2.9.1 超声图像存档与病案管理系统。</w:t>
            </w:r>
          </w:p>
          <w:p w14:paraId="531F612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2.9.2 主机系统：固态硬盘≥1TB。</w:t>
            </w:r>
          </w:p>
          <w:p w14:paraId="0E3200F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2.9.3 一体化原始数据的简帖版(在荧光屏上)可以存储和回放动态及静态图像。</w:t>
            </w:r>
          </w:p>
          <w:p w14:paraId="129E250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2.9.4 以往图像与当前图像同屏对比显示。</w:t>
            </w:r>
          </w:p>
          <w:p w14:paraId="2B0A6F3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2.9.5 内置CD－RW / DVD –RW。</w:t>
            </w:r>
          </w:p>
          <w:p w14:paraId="2F69336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2.9.6 提供多个USB接口，可将图像储存U盘、移动硬盘或其它USB装置 。</w:t>
            </w:r>
          </w:p>
          <w:p w14:paraId="16B624A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2.9.7 支持客户自定义的报告系统。</w:t>
            </w:r>
          </w:p>
          <w:p w14:paraId="256A3A7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三、其他</w:t>
            </w:r>
          </w:p>
          <w:p w14:paraId="371A90E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5.1 系统通用功能：</w:t>
            </w:r>
          </w:p>
          <w:p w14:paraId="38F6686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3.1.1系统通道数 ≥ 1700万；动态范围≥350db。</w:t>
            </w:r>
          </w:p>
          <w:p w14:paraId="6C75306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3.1.2探头接口：≥4个无针式探头接口可互通互用（具备接口照明）+1个待激活探头接口（不含CW接口）</w:t>
            </w:r>
          </w:p>
          <w:p w14:paraId="3B12AC8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3.1.3预设条件：针对不同的检查脏器，预置最佳化图像的检查条件，减少操作时的调节，及常用所需的外部调节及组合调节。</w:t>
            </w:r>
          </w:p>
          <w:p w14:paraId="09E9374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5.2 探头规格：</w:t>
            </w:r>
          </w:p>
          <w:p w14:paraId="15544D8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3.2.1 性能：超宽频带变频探头，在二维中心频率最多可达6种，谐波中心频率最多可达6种；多普勒频率最多可达6种；变频个数可视可调。</w:t>
            </w:r>
          </w:p>
          <w:p w14:paraId="6BB0515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3.2.2 类型：电子相控阵，电子凸阵，电子线阵。</w:t>
            </w:r>
          </w:p>
          <w:p w14:paraId="3E02403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▲3.2.3 主机工作频率范围：1-25MHz。</w:t>
            </w:r>
          </w:p>
          <w:p w14:paraId="78F46A5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3.2.4  B/D兼用：相控阵B/PWD及B/CWD；线阵：B/PWD；凸阵：B/PWD。</w:t>
            </w:r>
          </w:p>
          <w:p w14:paraId="29A9377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3.2.5 配置4把探头：</w:t>
            </w:r>
          </w:p>
          <w:p w14:paraId="555EAB4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▲3.2.5.1 腹部电子凸阵：显示频率：1-8MHz。</w:t>
            </w:r>
          </w:p>
          <w:p w14:paraId="4866D7E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3.2.5.2 小器官高频：显示频率：4－15MHz。</w:t>
            </w:r>
          </w:p>
          <w:p w14:paraId="27BC401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▲3.2.5.3 双平面探头：凸阵显示频率：3－13MHz。线阵显示频率：3－13MHz。支持弹性和造影功能。</w:t>
            </w:r>
          </w:p>
          <w:p w14:paraId="2B8830E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3.2.5.4 心脏探头: 显示频率：1－5MHz。</w:t>
            </w:r>
          </w:p>
          <w:p w14:paraId="7DF82D5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3.2.6 可选配穿刺导向装置。</w:t>
            </w:r>
          </w:p>
          <w:p w14:paraId="2E05C0E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5.3 二维灰阶显像主要参数：</w:t>
            </w:r>
          </w:p>
          <w:p w14:paraId="79BBA64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3.3.1 发射声束聚焦：发射≥8段。</w:t>
            </w:r>
          </w:p>
          <w:p w14:paraId="0C6FDE1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 xml:space="preserve">▲3.3.2 标配探头最大扫描深度≥50cm。 </w:t>
            </w:r>
          </w:p>
          <w:p w14:paraId="6D7A897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3.3.3 回放重现：灰阶图像回放≥2048幅, 电影回放≥60秒。</w:t>
            </w:r>
          </w:p>
          <w:p w14:paraId="30DE29A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5.4 频谱多普勒：</w:t>
            </w:r>
          </w:p>
          <w:p w14:paraId="04FC9BB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3.4.1 显示方式：脉冲、连续、 高脉冲重复频率。</w:t>
            </w:r>
          </w:p>
          <w:p w14:paraId="5090C3D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3.4.2 最大测量速度：PWD≥±10.6m/s, CWD≥24m/s。</w:t>
            </w:r>
          </w:p>
          <w:p w14:paraId="757D4AA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3.4.3 最低测量速度：PW≤0.01m/s(非噪声信号)。</w:t>
            </w:r>
          </w:p>
          <w:p w14:paraId="467B27F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3.4.4 取样宽度及位置：0.5－24mm逐级调节。</w:t>
            </w:r>
          </w:p>
          <w:p w14:paraId="01E94E1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3.4.5 零位移动：≥6级。</w:t>
            </w:r>
          </w:p>
          <w:p w14:paraId="1663D08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3.4.6 显示控制：反转显示（左右，上下），零移位，B-刷新（手控，时间，ECG同步），D扩展，B/D扩展，局放及移位。</w:t>
            </w:r>
          </w:p>
          <w:p w14:paraId="78AE675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3.5 彩色多普勒：</w:t>
            </w:r>
          </w:p>
          <w:p w14:paraId="0E0FB00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3.5.1 显示方式：速度方差显示、能量显示，速度显示、方差显示。</w:t>
            </w:r>
          </w:p>
          <w:p w14:paraId="242E69B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3.5.2 二维/彩色血流/频谱多谱勒实时三同步。</w:t>
            </w:r>
          </w:p>
          <w:p w14:paraId="5A9FAF2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3.5.3 彩色增强功能：组织多普勒成像，方向性能量图，精细血流成像，高清血流成像，微血管“珊瑚”成像，立体血流成像</w:t>
            </w:r>
          </w:p>
          <w:p w14:paraId="77E5E0F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3.5.4 显示取样框调整：线阵扫描感兴趣图像范围：±30度。</w:t>
            </w:r>
          </w:p>
          <w:p w14:paraId="485DB36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3.6 超声功率输出调节：B/M、PWD、CWD、彩色多普勒输出功率可调。</w:t>
            </w:r>
          </w:p>
        </w:tc>
        <w:tc>
          <w:tcPr>
            <w:tcW w:w="454" w:type="pct"/>
            <w:tcBorders>
              <w:top w:val="single" w:color="auto" w:sz="4" w:space="0"/>
              <w:left w:val="nil"/>
              <w:bottom w:val="single" w:color="auto" w:sz="4" w:space="0"/>
              <w:right w:val="single" w:color="auto" w:sz="4" w:space="0"/>
            </w:tcBorders>
            <w:shd w:val="clear" w:color="auto" w:fill="FFFFFF"/>
            <w:vAlign w:val="center"/>
          </w:tcPr>
          <w:p w14:paraId="635E407C">
            <w:pPr>
              <w:widowControl/>
              <w:tabs>
                <w:tab w:val="left" w:pos="900"/>
              </w:tabs>
              <w:jc w:val="center"/>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套</w:t>
            </w:r>
          </w:p>
        </w:tc>
        <w:tc>
          <w:tcPr>
            <w:tcW w:w="454" w:type="pct"/>
            <w:tcBorders>
              <w:top w:val="single" w:color="auto" w:sz="4" w:space="0"/>
              <w:left w:val="nil"/>
              <w:bottom w:val="single" w:color="auto" w:sz="4" w:space="0"/>
              <w:right w:val="single" w:color="auto" w:sz="4" w:space="0"/>
            </w:tcBorders>
            <w:shd w:val="clear" w:color="auto" w:fill="FFFFFF"/>
            <w:vAlign w:val="center"/>
          </w:tcPr>
          <w:p w14:paraId="6308562C">
            <w:pPr>
              <w:widowControl/>
              <w:tabs>
                <w:tab w:val="left" w:pos="900"/>
              </w:tabs>
              <w:jc w:val="center"/>
              <w:textAlignment w:val="center"/>
              <w:rPr>
                <w:rFonts w:hint="eastAsia" w:ascii="宋体" w:hAnsi="宋体" w:eastAsia="宋体" w:cs="Arial"/>
                <w:color w:val="auto"/>
                <w:kern w:val="0"/>
                <w:sz w:val="24"/>
                <w:szCs w:val="24"/>
                <w:highlight w:val="none"/>
                <w:lang w:eastAsia="zh-CN"/>
              </w:rPr>
            </w:pPr>
            <w:r>
              <w:rPr>
                <w:rFonts w:hint="eastAsia" w:ascii="宋体" w:hAnsi="宋体" w:eastAsia="宋体" w:cs="Arial"/>
                <w:color w:val="auto"/>
                <w:kern w:val="0"/>
                <w:sz w:val="24"/>
                <w:szCs w:val="24"/>
                <w:highlight w:val="none"/>
                <w:lang w:val="en-US" w:eastAsia="zh-CN"/>
              </w:rPr>
              <w:t>1</w:t>
            </w:r>
          </w:p>
        </w:tc>
        <w:tc>
          <w:tcPr>
            <w:tcW w:w="618" w:type="pct"/>
            <w:tcBorders>
              <w:top w:val="single" w:color="auto" w:sz="4" w:space="0"/>
              <w:left w:val="nil"/>
              <w:bottom w:val="single" w:color="auto" w:sz="4" w:space="0"/>
              <w:right w:val="single" w:color="auto" w:sz="4" w:space="0"/>
            </w:tcBorders>
            <w:vAlign w:val="center"/>
          </w:tcPr>
          <w:p w14:paraId="47AC6685">
            <w:pPr>
              <w:widowControl/>
              <w:jc w:val="center"/>
              <w:rPr>
                <w:rFonts w:hint="eastAsia" w:ascii="宋体" w:hAnsi="宋体" w:eastAsia="宋体" w:cs="Arial"/>
                <w:color w:val="auto"/>
                <w:kern w:val="0"/>
                <w:sz w:val="24"/>
                <w:szCs w:val="24"/>
                <w:highlight w:val="none"/>
                <w:lang w:eastAsia="zh-CN"/>
              </w:rPr>
            </w:pPr>
            <w:r>
              <w:rPr>
                <w:rFonts w:hint="eastAsia" w:ascii="宋体" w:hAnsi="宋体" w:eastAsia="宋体" w:cs="Arial"/>
                <w:color w:val="auto"/>
                <w:kern w:val="0"/>
                <w:sz w:val="24"/>
                <w:szCs w:val="24"/>
                <w:highlight w:val="none"/>
                <w:lang w:val="en-US" w:eastAsia="zh-CN"/>
              </w:rPr>
              <w:t>是</w:t>
            </w:r>
          </w:p>
        </w:tc>
      </w:tr>
    </w:tbl>
    <w:p w14:paraId="1D9F64E8">
      <w:pPr>
        <w:spacing w:line="360" w:lineRule="auto"/>
        <w:rPr>
          <w:rFonts w:hint="eastAsia" w:ascii="宋体" w:hAnsi="宋体" w:eastAsia="宋体" w:cs="宋体"/>
          <w:bCs/>
          <w:color w:val="auto"/>
          <w:sz w:val="24"/>
          <w:szCs w:val="24"/>
          <w:highlight w:val="none"/>
        </w:rPr>
      </w:pPr>
    </w:p>
    <w:p w14:paraId="7C3C9569">
      <w:pPr>
        <w:keepNext w:val="0"/>
        <w:keepLines w:val="0"/>
        <w:pageBreakBefore/>
        <w:widowControl w:val="0"/>
        <w:kinsoku/>
        <w:wordWrap/>
        <w:overflowPunct/>
        <w:topLinePunct w:val="0"/>
        <w:autoSpaceDE/>
        <w:autoSpaceDN/>
        <w:bidi w:val="0"/>
        <w:adjustRightInd/>
        <w:snapToGrid/>
        <w:spacing w:line="360" w:lineRule="auto"/>
        <w:ind w:firstLine="437"/>
        <w:textAlignment w:val="auto"/>
        <w:outlineLvl w:val="2"/>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0</w:t>
      </w:r>
      <w:r>
        <w:rPr>
          <w:rFonts w:hint="eastAsia" w:ascii="宋体" w:hAnsi="宋体" w:eastAsia="宋体" w:cs="宋体"/>
          <w:color w:val="auto"/>
          <w:sz w:val="24"/>
          <w:szCs w:val="24"/>
          <w:highlight w:val="none"/>
          <w:lang w:val="en-US" w:eastAsia="zh-CN"/>
        </w:rPr>
        <w:t>9</w:t>
      </w:r>
      <w:r>
        <w:rPr>
          <w:rFonts w:hint="eastAsia" w:ascii="宋体" w:hAnsi="宋体" w:eastAsia="宋体" w:cs="宋体"/>
          <w:color w:val="auto"/>
          <w:sz w:val="24"/>
          <w:szCs w:val="24"/>
          <w:highlight w:val="none"/>
        </w:rPr>
        <w:t>包：</w:t>
      </w:r>
    </w:p>
    <w:tbl>
      <w:tblPr>
        <w:tblStyle w:val="2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2"/>
        <w:gridCol w:w="1359"/>
        <w:gridCol w:w="4296"/>
        <w:gridCol w:w="691"/>
        <w:gridCol w:w="692"/>
        <w:gridCol w:w="972"/>
      </w:tblGrid>
      <w:tr w14:paraId="709C6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9" w:type="pct"/>
            <w:tcBorders>
              <w:top w:val="single" w:color="auto" w:sz="4" w:space="0"/>
              <w:left w:val="single" w:color="auto" w:sz="4" w:space="0"/>
              <w:bottom w:val="single" w:color="auto" w:sz="4" w:space="0"/>
              <w:right w:val="single" w:color="auto" w:sz="4" w:space="0"/>
            </w:tcBorders>
            <w:shd w:val="clear" w:color="auto" w:fill="FFFFFF"/>
            <w:vAlign w:val="center"/>
          </w:tcPr>
          <w:p w14:paraId="7C78B6DD">
            <w:pPr>
              <w:widowControl/>
              <w:tabs>
                <w:tab w:val="left" w:pos="420"/>
                <w:tab w:val="left" w:pos="900"/>
              </w:tabs>
              <w:jc w:val="center"/>
              <w:rPr>
                <w:rFonts w:hint="eastAsia" w:ascii="宋体" w:hAnsi="宋体" w:eastAsia="宋体" w:cs="Arial"/>
                <w:b/>
                <w:bCs/>
                <w:color w:val="auto"/>
                <w:kern w:val="0"/>
                <w:sz w:val="24"/>
                <w:szCs w:val="24"/>
                <w:highlight w:val="none"/>
              </w:rPr>
            </w:pPr>
            <w:r>
              <w:rPr>
                <w:rFonts w:hint="eastAsia" w:ascii="宋体" w:hAnsi="宋体" w:eastAsia="宋体" w:cs="Arial"/>
                <w:b/>
                <w:bCs/>
                <w:color w:val="auto"/>
                <w:kern w:val="0"/>
                <w:sz w:val="24"/>
                <w:szCs w:val="24"/>
                <w:highlight w:val="none"/>
              </w:rPr>
              <w:t>序号</w:t>
            </w:r>
          </w:p>
        </w:tc>
        <w:tc>
          <w:tcPr>
            <w:tcW w:w="846" w:type="pct"/>
            <w:tcBorders>
              <w:top w:val="single" w:color="auto" w:sz="4" w:space="0"/>
              <w:left w:val="nil"/>
              <w:bottom w:val="single" w:color="auto" w:sz="4" w:space="0"/>
              <w:right w:val="single" w:color="auto" w:sz="4" w:space="0"/>
            </w:tcBorders>
            <w:shd w:val="clear" w:color="auto" w:fill="FFFFFF"/>
            <w:vAlign w:val="center"/>
          </w:tcPr>
          <w:p w14:paraId="55DF8C01">
            <w:pPr>
              <w:widowControl/>
              <w:tabs>
                <w:tab w:val="left" w:pos="420"/>
                <w:tab w:val="left" w:pos="900"/>
              </w:tabs>
              <w:jc w:val="center"/>
              <w:rPr>
                <w:rFonts w:hint="eastAsia" w:ascii="宋体" w:hAnsi="宋体" w:eastAsia="宋体" w:cs="Arial"/>
                <w:b/>
                <w:bCs/>
                <w:color w:val="auto"/>
                <w:kern w:val="0"/>
                <w:sz w:val="24"/>
                <w:szCs w:val="24"/>
                <w:highlight w:val="none"/>
              </w:rPr>
            </w:pPr>
            <w:r>
              <w:rPr>
                <w:rFonts w:hint="eastAsia" w:ascii="宋体" w:hAnsi="宋体" w:eastAsia="宋体" w:cs="Arial"/>
                <w:b/>
                <w:bCs/>
                <w:color w:val="auto"/>
                <w:kern w:val="0"/>
                <w:sz w:val="24"/>
                <w:szCs w:val="24"/>
                <w:highlight w:val="none"/>
              </w:rPr>
              <w:t>货物名称</w:t>
            </w:r>
          </w:p>
        </w:tc>
        <w:tc>
          <w:tcPr>
            <w:tcW w:w="2277" w:type="pct"/>
            <w:tcBorders>
              <w:top w:val="single" w:color="auto" w:sz="4" w:space="0"/>
              <w:left w:val="nil"/>
              <w:bottom w:val="single" w:color="auto" w:sz="4" w:space="0"/>
              <w:right w:val="single" w:color="auto" w:sz="4" w:space="0"/>
            </w:tcBorders>
            <w:shd w:val="clear" w:color="auto" w:fill="FFFFFF"/>
            <w:vAlign w:val="center"/>
          </w:tcPr>
          <w:p w14:paraId="13FE50D9">
            <w:pPr>
              <w:widowControl/>
              <w:tabs>
                <w:tab w:val="left" w:pos="420"/>
                <w:tab w:val="left" w:pos="900"/>
              </w:tabs>
              <w:jc w:val="center"/>
              <w:rPr>
                <w:rFonts w:hint="eastAsia" w:ascii="宋体" w:hAnsi="宋体" w:eastAsia="宋体" w:cs="Arial"/>
                <w:b/>
                <w:bCs/>
                <w:color w:val="auto"/>
                <w:kern w:val="0"/>
                <w:sz w:val="24"/>
                <w:szCs w:val="24"/>
                <w:highlight w:val="none"/>
              </w:rPr>
            </w:pPr>
            <w:r>
              <w:rPr>
                <w:rFonts w:hint="eastAsia" w:ascii="宋体" w:hAnsi="宋体" w:eastAsia="宋体" w:cs="Arial"/>
                <w:b/>
                <w:bCs/>
                <w:color w:val="auto"/>
                <w:kern w:val="0"/>
                <w:sz w:val="24"/>
                <w:szCs w:val="24"/>
                <w:highlight w:val="none"/>
              </w:rPr>
              <w:t>技术参数及要求</w:t>
            </w:r>
          </w:p>
        </w:tc>
        <w:tc>
          <w:tcPr>
            <w:tcW w:w="454" w:type="pct"/>
            <w:tcBorders>
              <w:top w:val="single" w:color="auto" w:sz="4" w:space="0"/>
              <w:left w:val="nil"/>
              <w:bottom w:val="single" w:color="auto" w:sz="4" w:space="0"/>
              <w:right w:val="single" w:color="auto" w:sz="4" w:space="0"/>
            </w:tcBorders>
            <w:shd w:val="clear" w:color="auto" w:fill="FFFFFF"/>
            <w:vAlign w:val="center"/>
          </w:tcPr>
          <w:p w14:paraId="7281BD0C">
            <w:pPr>
              <w:widowControl/>
              <w:tabs>
                <w:tab w:val="left" w:pos="420"/>
                <w:tab w:val="left" w:pos="900"/>
              </w:tabs>
              <w:jc w:val="center"/>
              <w:rPr>
                <w:rFonts w:hint="eastAsia" w:ascii="宋体" w:hAnsi="宋体" w:eastAsia="宋体" w:cs="Arial"/>
                <w:b/>
                <w:bCs/>
                <w:color w:val="auto"/>
                <w:kern w:val="0"/>
                <w:sz w:val="24"/>
                <w:szCs w:val="24"/>
                <w:highlight w:val="none"/>
              </w:rPr>
            </w:pPr>
            <w:r>
              <w:rPr>
                <w:rFonts w:hint="eastAsia" w:ascii="宋体" w:hAnsi="宋体" w:eastAsia="宋体" w:cs="Arial"/>
                <w:b/>
                <w:bCs/>
                <w:color w:val="auto"/>
                <w:kern w:val="0"/>
                <w:sz w:val="24"/>
                <w:szCs w:val="24"/>
                <w:highlight w:val="none"/>
              </w:rPr>
              <w:t>单位</w:t>
            </w:r>
          </w:p>
        </w:tc>
        <w:tc>
          <w:tcPr>
            <w:tcW w:w="454" w:type="pct"/>
            <w:tcBorders>
              <w:top w:val="single" w:color="auto" w:sz="4" w:space="0"/>
              <w:left w:val="nil"/>
              <w:bottom w:val="single" w:color="auto" w:sz="4" w:space="0"/>
              <w:right w:val="single" w:color="auto" w:sz="4" w:space="0"/>
            </w:tcBorders>
            <w:shd w:val="clear" w:color="auto" w:fill="FFFFFF"/>
            <w:vAlign w:val="center"/>
          </w:tcPr>
          <w:p w14:paraId="0E30FBCB">
            <w:pPr>
              <w:widowControl/>
              <w:tabs>
                <w:tab w:val="left" w:pos="420"/>
                <w:tab w:val="left" w:pos="900"/>
              </w:tabs>
              <w:jc w:val="center"/>
              <w:rPr>
                <w:rFonts w:hint="eastAsia" w:ascii="宋体" w:hAnsi="宋体" w:eastAsia="宋体" w:cs="Arial"/>
                <w:b/>
                <w:bCs/>
                <w:color w:val="auto"/>
                <w:kern w:val="0"/>
                <w:sz w:val="24"/>
                <w:szCs w:val="24"/>
                <w:highlight w:val="none"/>
              </w:rPr>
            </w:pPr>
            <w:r>
              <w:rPr>
                <w:rFonts w:hint="eastAsia" w:ascii="宋体" w:hAnsi="宋体" w:eastAsia="宋体" w:cs="Arial"/>
                <w:b/>
                <w:bCs/>
                <w:color w:val="auto"/>
                <w:kern w:val="0"/>
                <w:sz w:val="24"/>
                <w:szCs w:val="24"/>
                <w:highlight w:val="none"/>
              </w:rPr>
              <w:t>采购数量</w:t>
            </w:r>
          </w:p>
        </w:tc>
        <w:tc>
          <w:tcPr>
            <w:tcW w:w="618" w:type="pct"/>
            <w:tcBorders>
              <w:top w:val="single" w:color="auto" w:sz="4" w:space="0"/>
              <w:left w:val="nil"/>
              <w:bottom w:val="single" w:color="auto" w:sz="4" w:space="0"/>
              <w:right w:val="single" w:color="auto" w:sz="4" w:space="0"/>
            </w:tcBorders>
            <w:shd w:val="clear" w:color="auto" w:fill="FFFFFF"/>
            <w:vAlign w:val="center"/>
          </w:tcPr>
          <w:p w14:paraId="0C6354FB">
            <w:pPr>
              <w:widowControl/>
              <w:tabs>
                <w:tab w:val="left" w:pos="420"/>
                <w:tab w:val="left" w:pos="900"/>
              </w:tabs>
              <w:jc w:val="center"/>
              <w:rPr>
                <w:rFonts w:hint="eastAsia" w:ascii="宋体" w:hAnsi="宋体" w:eastAsia="宋体" w:cs="Arial"/>
                <w:b/>
                <w:bCs/>
                <w:color w:val="auto"/>
                <w:kern w:val="0"/>
                <w:sz w:val="24"/>
                <w:szCs w:val="24"/>
                <w:highlight w:val="none"/>
              </w:rPr>
            </w:pPr>
            <w:r>
              <w:rPr>
                <w:rFonts w:hint="eastAsia" w:ascii="宋体" w:hAnsi="宋体" w:eastAsia="宋体" w:cs="Arial"/>
                <w:b/>
                <w:bCs/>
                <w:color w:val="auto"/>
                <w:kern w:val="0"/>
                <w:sz w:val="24"/>
                <w:szCs w:val="24"/>
                <w:highlight w:val="none"/>
              </w:rPr>
              <w:t>是否为核心产品</w:t>
            </w:r>
          </w:p>
        </w:tc>
      </w:tr>
      <w:tr w14:paraId="31032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9" w:type="pct"/>
            <w:tcBorders>
              <w:top w:val="single" w:color="auto" w:sz="4" w:space="0"/>
              <w:left w:val="single" w:color="auto" w:sz="4" w:space="0"/>
              <w:bottom w:val="single" w:color="auto" w:sz="4" w:space="0"/>
              <w:right w:val="single" w:color="auto" w:sz="4" w:space="0"/>
            </w:tcBorders>
            <w:shd w:val="clear" w:color="auto" w:fill="FFFFFF"/>
            <w:vAlign w:val="center"/>
          </w:tcPr>
          <w:p w14:paraId="7B13C08D">
            <w:pPr>
              <w:widowControl/>
              <w:tabs>
                <w:tab w:val="left" w:pos="420"/>
                <w:tab w:val="left" w:pos="900"/>
              </w:tabs>
              <w:jc w:val="center"/>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w:t>
            </w:r>
          </w:p>
        </w:tc>
        <w:tc>
          <w:tcPr>
            <w:tcW w:w="846" w:type="pct"/>
            <w:tcBorders>
              <w:top w:val="single" w:color="auto" w:sz="4" w:space="0"/>
              <w:left w:val="nil"/>
              <w:bottom w:val="single" w:color="auto" w:sz="4" w:space="0"/>
              <w:right w:val="single" w:color="auto" w:sz="4" w:space="0"/>
            </w:tcBorders>
            <w:shd w:val="clear" w:color="auto" w:fill="FFFFFF"/>
            <w:vAlign w:val="center"/>
          </w:tcPr>
          <w:p w14:paraId="09E5B157">
            <w:pPr>
              <w:widowControl/>
              <w:tabs>
                <w:tab w:val="left" w:pos="900"/>
              </w:tabs>
              <w:jc w:val="center"/>
              <w:textAlignment w:val="center"/>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彩超（肌骨）</w:t>
            </w:r>
          </w:p>
        </w:tc>
        <w:tc>
          <w:tcPr>
            <w:tcW w:w="2277" w:type="pct"/>
            <w:tcBorders>
              <w:top w:val="single" w:color="auto" w:sz="4" w:space="0"/>
              <w:left w:val="nil"/>
              <w:bottom w:val="single" w:color="auto" w:sz="4" w:space="0"/>
              <w:right w:val="single" w:color="auto" w:sz="4" w:space="0"/>
            </w:tcBorders>
            <w:shd w:val="clear" w:color="auto" w:fill="FFFFFF"/>
            <w:vAlign w:val="center"/>
          </w:tcPr>
          <w:p w14:paraId="3A647C0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一、设备名称：彩色多普勒超声系统</w:t>
            </w:r>
          </w:p>
          <w:p w14:paraId="6E9456A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二、用途说明</w:t>
            </w:r>
          </w:p>
          <w:p w14:paraId="075EABA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 全身应用型彩色多普勒超声波诊断系统，主要用于腹部、心脏、妇产科、泌尿科、 浅表组织与小器官、神经、血管、儿科、急重诊等应用。</w:t>
            </w:r>
          </w:p>
          <w:p w14:paraId="13A4C84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三、技术要求</w:t>
            </w:r>
          </w:p>
          <w:p w14:paraId="255E93C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▲3.1显示器要求：≥27英寸高分辨率彩色液晶显示器，分辨率≥2560*1440，可上下移动、左右旋转、前后移动。 前后移动距离≥45cm。</w:t>
            </w:r>
          </w:p>
          <w:p w14:paraId="6C4EA33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▲3.2液晶触摸屏要求：≥15英寸彩色触摸屏，触摸屏角度可以独立于主机调节（机身静止状态下，独立调节角度≥50度）</w:t>
            </w:r>
          </w:p>
          <w:p w14:paraId="32F9E1C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▲3.3触摸屏可显示自动记忆的最近使用过的检查探头及模式，支持一键切换探头及模式</w:t>
            </w:r>
          </w:p>
          <w:p w14:paraId="6265ACB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3.4操作面板具有6向独立的电动调节功能（即电动上下升降、左右旋转和前后平移），方便操作者进行操作。</w:t>
            </w:r>
          </w:p>
          <w:p w14:paraId="21FA6848">
            <w:pPr>
              <w:widowControl/>
              <w:tabs>
                <w:tab w:val="left" w:pos="420"/>
                <w:tab w:val="left" w:pos="900"/>
              </w:tabs>
              <w:rPr>
                <w:rFonts w:hint="eastAsia" w:ascii="宋体" w:hAnsi="宋体" w:eastAsia="宋体" w:cs="Arial"/>
                <w:color w:val="auto"/>
                <w:kern w:val="0"/>
                <w:sz w:val="24"/>
                <w:szCs w:val="24"/>
                <w:highlight w:val="none"/>
              </w:rPr>
            </w:pPr>
          </w:p>
          <w:p w14:paraId="576EFAC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3.6探头接口数量≥5个，均为无针式接口且大小一致，可全激活。</w:t>
            </w:r>
          </w:p>
          <w:p w14:paraId="07FCC86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▲3.7探头接口具有防尘、防线缆缠绕的保护罩</w:t>
            </w:r>
          </w:p>
          <w:p w14:paraId="282DDAB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3.8中央刹车系统</w:t>
            </w:r>
          </w:p>
          <w:p w14:paraId="4097810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▲3.9支持电控助力，可轻松推行超声设备；</w:t>
            </w:r>
          </w:p>
          <w:p w14:paraId="1559A00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▲3.10配置内置电池，不插电状态下，支持60分钟超声检查。</w:t>
            </w:r>
          </w:p>
          <w:p w14:paraId="70F7090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四</w:t>
            </w:r>
            <w:r>
              <w:rPr>
                <w:rFonts w:hint="eastAsia" w:ascii="宋体" w:hAnsi="宋体" w:eastAsia="宋体" w:cs="Arial"/>
                <w:color w:val="auto"/>
                <w:kern w:val="0"/>
                <w:sz w:val="24"/>
                <w:szCs w:val="24"/>
                <w:highlight w:val="none"/>
                <w:lang w:val="en-US" w:eastAsia="zh-CN"/>
              </w:rPr>
              <w:t xml:space="preserve"> </w:t>
            </w:r>
            <w:r>
              <w:rPr>
                <w:rFonts w:hint="eastAsia" w:ascii="宋体" w:hAnsi="宋体" w:eastAsia="宋体" w:cs="Arial"/>
                <w:color w:val="auto"/>
                <w:kern w:val="0"/>
                <w:sz w:val="24"/>
                <w:szCs w:val="24"/>
                <w:highlight w:val="none"/>
              </w:rPr>
              <w:t>成像技术</w:t>
            </w:r>
          </w:p>
          <w:p w14:paraId="14BC067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 xml:space="preserve">4.1数字化全域动态聚焦，数字化可变孔径及动态变迹， A/D ≥ 16bit </w:t>
            </w:r>
          </w:p>
          <w:p w14:paraId="337DCE6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4.2宽频可变频成像技术：灰阶、谐波、彩色、频谱支持独立变频，探头频率可视可调</w:t>
            </w:r>
          </w:p>
          <w:p w14:paraId="50E3D3E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▲4.3高分辨率成像，可清晰显示直径≤100um的血管内膜</w:t>
            </w:r>
          </w:p>
          <w:p w14:paraId="7EF298A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4.4斑点噪声抑制技术：多级可调，支持 3D/4D、CFM/PDI、宽景成像、造影成像 等技术</w:t>
            </w:r>
          </w:p>
          <w:p w14:paraId="7129460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4.5多角度扫描空间复合成像技术，调节档位≥3档。</w:t>
            </w:r>
          </w:p>
          <w:p w14:paraId="5DAA6E2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4.6声速匹配技术，根据人体组织真实情况，自动匹配至最佳成像声速，并将具体声速数值在屏幕上显示</w:t>
            </w:r>
          </w:p>
          <w:p w14:paraId="4BC5864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▲4.7支持全屏放大，一键实时全屏图像放大功能，支持≥ 2 种放大模式，放大后图像可全屏显示</w:t>
            </w:r>
          </w:p>
          <w:p w14:paraId="5562DBB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4.8具备B模式局部ROI区域高分辨率显示技术，提高感兴趣区的二维图像分辨率和细节分辨率，支持全局图像与局部高清图像的同屏左右双幅双实时显示。</w:t>
            </w:r>
          </w:p>
          <w:p w14:paraId="438C033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4.9扩展成像技术：凸阵、微凸阵、线阵，相控阵探头均具有此功能，且空间复合成像技术及斑点噪声抑制技术支持其扩展区域。</w:t>
            </w:r>
          </w:p>
          <w:p w14:paraId="6D5190D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4.10一键自动图像优化，可一键快速优化：二维灰阶、彩色多普勒、频谱多普勒、及造影图像。</w:t>
            </w:r>
          </w:p>
          <w:p w14:paraId="784F28A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4.11 二维/彩色取样框角度独立偏转技术，彩色取样框偏转角度≥30度。</w:t>
            </w:r>
          </w:p>
          <w:p w14:paraId="2B916DA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4.12频谱多普勒成像，连续多普勒成像（要求线阵探头可支持连续多普勒成像）。</w:t>
            </w:r>
          </w:p>
          <w:p w14:paraId="45F95CD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▲4.13超微细血流成像技术，对微细低速血流具有高敏感度，可检测并显示组织内部及病灶血流灌注的低速血流，明显提高血流敏感度、血管空间分辨力。</w:t>
            </w:r>
          </w:p>
          <w:p w14:paraId="137489A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4.14智能多普勒技术:能够快速识别血管结构，自动调整调整频谱取样容积及角度。</w:t>
            </w:r>
          </w:p>
          <w:p w14:paraId="1F6D1EA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4.15穿刺针增强显示功能，动态增强超声图像中针体显示，具有双屏实时对比显示，增强前后效果，支持自适应校正角度，帮助清晰显示穿刺路径，提高穿刺活检及介入治疗操作信心 及成功率。</w:t>
            </w:r>
          </w:p>
          <w:p w14:paraId="6D27F85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4.16解剖M型模式（≥3条取样线，360度自由旋转）</w:t>
            </w:r>
          </w:p>
          <w:p w14:paraId="4D5C425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▲4.17支持当前实时超声图像与历史保存的DICOM 格式CT/MRI/ 钼钯/X 光/ 超声图像</w:t>
            </w:r>
          </w:p>
          <w:p w14:paraId="33B3A6D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进行比较, 同屏对比既往和目前的超声图像，回顾实时的、存储的、输出的图像进行对比诊断。</w:t>
            </w:r>
          </w:p>
          <w:p w14:paraId="5DAC569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4.18支持内置超声教学软件，同屏显示基本扫查技巧，包括探头扫查位置，解剖图和超声标准切面图</w:t>
            </w:r>
          </w:p>
          <w:p w14:paraId="07A101F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五高级成像功能</w:t>
            </w:r>
          </w:p>
          <w:p w14:paraId="0A1FC58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5.1造影成像</w:t>
            </w:r>
          </w:p>
          <w:p w14:paraId="4A2A31D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▲5.1.1造影成像功能支持腹部探头、浅表探头、相控阵探头、腔内探头</w:t>
            </w:r>
          </w:p>
          <w:p w14:paraId="006F9EC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5.1.2支持微血管造影增强</w:t>
            </w:r>
          </w:p>
          <w:p w14:paraId="17ADEAE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5.1.3支持混合模式，将组织图像叠加在造影图像上；</w:t>
            </w:r>
          </w:p>
          <w:p w14:paraId="061DE40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5.1.4支持实时显示组织图像和造影图像，造影图像和组织图像位置可互换</w:t>
            </w:r>
          </w:p>
          <w:p w14:paraId="70EF5A7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5.1.5具有双计时器</w:t>
            </w:r>
          </w:p>
          <w:p w14:paraId="1243895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5.1.6支持向后存储≥8分钟电影</w:t>
            </w:r>
          </w:p>
          <w:p w14:paraId="39C85E5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5.1.7造影定量分析功能，支持时间强度分析曲线，以表格的形式显示数据，取样点可跟踪感兴趣区运动，≥8个ROI</w:t>
            </w:r>
          </w:p>
          <w:p w14:paraId="032AF53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5.1.8具备造影时序分析功能，使用不同颜色标记造影剂到达时间，方便观察并比较病灶及组织的造影剂灌注特点，可对彩色和时间进行设置。</w:t>
            </w:r>
          </w:p>
          <w:p w14:paraId="2C60F79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▲5.1.9造影成像帧率：凸阵探头10cm深度，帧率≥60帧/s；线阵探头3.5cm深度，扫描范围最大，帧率≥100帧/秒</w:t>
            </w:r>
          </w:p>
          <w:p w14:paraId="133F024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▲5.1.10支持造影灌注图像与剪切波弹性图像同一切面同屏显示， 应用于微循环灌注和弹性联合评估和分析。</w:t>
            </w:r>
          </w:p>
          <w:p w14:paraId="1606D3A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5.2应变式弹性成像</w:t>
            </w:r>
          </w:p>
          <w:p w14:paraId="195219B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▲5.2.1应变式弹性成像支持：凸阵探头、线阵探头、腔内探头。</w:t>
            </w:r>
          </w:p>
          <w:p w14:paraId="71D0202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▲5.2.2具有压力补偿技术，用于减少深部组织的伪像，增加整场图像的均匀度。</w:t>
            </w:r>
          </w:p>
          <w:p w14:paraId="017462F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5.2.3具有压力操作提示图标，支持逐帧图像的压力大小查看</w:t>
            </w:r>
          </w:p>
          <w:p w14:paraId="4C4D621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5.2.4支持应变、应变率和应变直方图的测量</w:t>
            </w:r>
          </w:p>
          <w:p w14:paraId="07592E6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▲5.2.5具有肿块周边组织与正常组织、肿块周边组织与肿块内组织弹性分析功能</w:t>
            </w:r>
          </w:p>
          <w:p w14:paraId="73493E4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5.3剪切波弹性成像</w:t>
            </w:r>
          </w:p>
          <w:p w14:paraId="5493541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▲5.3.1支持探头：凸阵探头、线阵探头、腔内探头</w:t>
            </w:r>
          </w:p>
          <w:p w14:paraId="13818AF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▲5.3.2支持一线一凸双平面探头的二维实时剪切波弹性成像，用于泌尿及妇科检查</w:t>
            </w:r>
          </w:p>
          <w:p w14:paraId="4E5C2D7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5.3.3支持二维实时剪切波弹性成像 和单点式剪切波成像，提供定量的组织硬度信息。</w:t>
            </w:r>
          </w:p>
          <w:p w14:paraId="1147AA6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5.3.4实时剪切波弹性成像取样框大小和位置可调</w:t>
            </w:r>
          </w:p>
          <w:p w14:paraId="03F2E4E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▲5.3.5弹性定量的参数包括杨氏模量E（单位：kPa），剪切波速度Cs （单位：m/s），剪切模量G （单位：kPa）等定量数据</w:t>
            </w:r>
          </w:p>
          <w:p w14:paraId="4708333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5.3.6实时剪切波弹性成像及二维成像双实时成像，显示格式包括上下，左右多种方式可调。支持剪切波弹性成像全屏显示。</w:t>
            </w:r>
          </w:p>
          <w:p w14:paraId="69D9370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5.3.7具备组织硬度定量分析软件，支持多种比值分析，柱状图分析。</w:t>
            </w:r>
          </w:p>
          <w:p w14:paraId="1190807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5.3.8具有病灶周边浸润区的环形定量工具，环形的大小分级分档，可视可调</w:t>
            </w:r>
          </w:p>
          <w:p w14:paraId="29D59B1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5.3.9具备定量测量映射分析，即在组织图测量时弹性图同步测量</w:t>
            </w:r>
          </w:p>
          <w:p w14:paraId="5FECC3D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5.3.10支持可信度图显示，运动稳定性指数显示</w:t>
            </w:r>
          </w:p>
          <w:p w14:paraId="3E484F3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▲5.3.11支持高帧率剪切波弹性成像，剪切波ROI大小为4cm*2.5cm时，帧率≥5帧/秒</w:t>
            </w:r>
          </w:p>
          <w:p w14:paraId="57960C0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▲5.3.12支持在同一切面下同时成像应变式弹性和剪切波弹性，并实时双幅显示。</w:t>
            </w:r>
          </w:p>
          <w:p w14:paraId="3F95A49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5.3.13支持造影灌注图像与剪切波弹性图像同一切面同屏显示， 应用于微循环灌注和弹性联合评估和分析。</w:t>
            </w:r>
          </w:p>
          <w:p w14:paraId="0773906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▲5.4超高分辨率造影成像</w:t>
            </w:r>
          </w:p>
          <w:p w14:paraId="32BB6F7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▲5.4.1支持在机实现微米级的超高分辨率造影成像技术，可显示出＜100um以下直径的微小血管；</w:t>
            </w:r>
          </w:p>
          <w:p w14:paraId="4737F08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▲5.4.2支持凸阵探头和线阵探头</w:t>
            </w:r>
          </w:p>
          <w:p w14:paraId="4ACDB29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▲5.4.3支持血管密度成像模式，血流速度成像模式，血流方向成像模式，血管密度方向成像模式</w:t>
            </w:r>
          </w:p>
          <w:p w14:paraId="4551E94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▲5.4.4造影图像采集帧率≥500帧/秒</w:t>
            </w:r>
          </w:p>
          <w:p w14:paraId="33AD4D4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▲5.4.5可定量分析感兴趣区域内血管的像素距离和像素比，获得血管距离、血管密度、和血管密度比的定量信息</w:t>
            </w:r>
          </w:p>
          <w:p w14:paraId="0754452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▲5.4.6支持在超分辨造影图像的拟合曲线任意两点之间画一条水平线，测量并计算血管直径</w:t>
            </w:r>
          </w:p>
          <w:p w14:paraId="487DCEC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5.5宽景成像</w:t>
            </w:r>
          </w:p>
          <w:p w14:paraId="3BAA45B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5.5.1宽景成像支持凸阵探头、线阵探头、腔内探头、相控阵探头、容积探头</w:t>
            </w:r>
          </w:p>
          <w:p w14:paraId="55FAA5C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5.5.2支持二维宽景和彩色宽景</w:t>
            </w:r>
          </w:p>
          <w:p w14:paraId="022F5FF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5.5.3自动检测宽景成像时探头的扫描方向，具有红、蓝、绿三种彩色框及文字提示扫描速度过快、过慢或者正常</w:t>
            </w:r>
          </w:p>
          <w:p w14:paraId="4654415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5.5.4支持对宽景成像过程进行回访，成像后的图像可旋转及测量</w:t>
            </w:r>
          </w:p>
          <w:p w14:paraId="4FBFBB9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5.5.5宽景成像拼接长度≥200cm</w:t>
            </w:r>
          </w:p>
          <w:p w14:paraId="07C6686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5.6粘弹性成像</w:t>
            </w:r>
          </w:p>
          <w:p w14:paraId="27C3CB4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▲5.6.1支持腹部粘度系数或频散系数测量</w:t>
            </w:r>
          </w:p>
          <w:p w14:paraId="7E73CAE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▲5.6.2支持浅表粘度系数或频散系数测量</w:t>
            </w:r>
          </w:p>
          <w:p w14:paraId="297436F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▲5.6.3支持实时粘弹性成像、剪切波弹性成像、及二维成像上下左右多种模式混合显示</w:t>
            </w:r>
          </w:p>
          <w:p w14:paraId="2633D15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5.6.4粘性图谱≥8 档</w:t>
            </w:r>
          </w:p>
          <w:p w14:paraId="2808430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▲5.6.5支持多参数成像，可同屏实时进行粘弹性，剪切波弹性和声衰减成像</w:t>
            </w:r>
          </w:p>
          <w:p w14:paraId="55369B5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5.7组织特征成像功能</w:t>
            </w:r>
          </w:p>
          <w:p w14:paraId="6FF5741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▲5.7.1支持腹部声衰减模式</w:t>
            </w:r>
          </w:p>
          <w:p w14:paraId="5CA3F0C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▲5.7.2支持基于射频数据的肝肾比测量，辅助定量评估肝脏脂肪变性程度。</w:t>
            </w:r>
          </w:p>
          <w:p w14:paraId="06A1A0A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▲5.7.3支持肝纹理功能，通过肝脏图像纹理特征分析，辅助定量评估肝脏脂肪变性程度</w:t>
            </w:r>
          </w:p>
          <w:p w14:paraId="7A30236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▲5.7.4支持局部声速值，采用自动声速相关算法来测量了肝脏中的声速变化，根据肝实质回波信号测量声速大小，以量化与肝脏脂肪变性严重程度相关的脂肪含量。</w:t>
            </w:r>
          </w:p>
          <w:p w14:paraId="6966F62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5.8多参数联合分析功能</w:t>
            </w:r>
          </w:p>
          <w:p w14:paraId="0326D88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▲5.8.1支持不同成像技术实时的，同一切面同屏诊断和联合定量分析。</w:t>
            </w:r>
          </w:p>
          <w:p w14:paraId="2A249CC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▲5.8.2可联合分析：应变弹性，剪切波弹性，粘弹性，声衰减，肝纹理，声速值等多个参数。</w:t>
            </w:r>
          </w:p>
          <w:p w14:paraId="5FF2375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▲5.8.3支持显示多参数分级参考及多参数分级雷达图。</w:t>
            </w:r>
          </w:p>
          <w:p w14:paraId="5D2D797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▲5.8.4支持造影灌注图像与剪切波弹性图像同一切面同屏显示， 应用于微循环灌注和弹性联合评估和分析。</w:t>
            </w:r>
          </w:p>
          <w:p w14:paraId="7898AD9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5.9心血管成像</w:t>
            </w:r>
          </w:p>
          <w:p w14:paraId="0EC7EA2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5.9.1支持组织多普勒速度成像：具备组织速度成像、组织频谱成像、组织能量成像、组织M型成像四种模式</w:t>
            </w:r>
          </w:p>
          <w:p w14:paraId="46F0200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六测量分析和报告</w:t>
            </w:r>
          </w:p>
          <w:p w14:paraId="3884AEB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6.1全科测量包，自动生成报告： 腹部、妇科、产科、心脏、泌尿、小器官、儿科、血管、急诊科</w:t>
            </w:r>
          </w:p>
          <w:p w14:paraId="710F247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6.2自动识别病灶边界，帮助用户对病灶进行描迹。测量封闭区域的长短轴长度，面积及周长</w:t>
            </w:r>
          </w:p>
          <w:p w14:paraId="7A37E18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6.3支持肝肾比测量，基于B图像自动计算肾皮质和肝脏的灰阶比值进行肝脂肪变性评估，一键式肝肾皮质识别，实现快速简便的肝脂肪变性评估</w:t>
            </w:r>
          </w:p>
          <w:p w14:paraId="134BB19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6.4血管内中膜自动测量技术，测量数据至少包括最大值、最小值、平均值、标准差、ROI长度、测量长度及质量指标，具有IMT分析评估曲线</w:t>
            </w:r>
          </w:p>
          <w:p w14:paraId="277D32A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6.5全自动左心射血分数的测量，不需要连接心电图，并具有专门按键，对冻结的心脏图像，一次按键，机器自动识别左心室的舒张末期和收缩末期，并且以左右双幅图像显示，自动得出EF、SV等测量数值</w:t>
            </w:r>
          </w:p>
          <w:p w14:paraId="5C5BD1A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6.6小儿髋关节自动测量功能，超声主机可自动识别组织结构，自动计算α角,β角，自动进行临床分型</w:t>
            </w:r>
          </w:p>
          <w:p w14:paraId="4860551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6.7自动工作流协议（非预设条件），检查过程中可根据定义的协议自动切换图像模式，自动标记体标示意图，自动注释等，节省操作时间。操作协议可用户自定义，并可支持导出协议到其他机器上使用，有利于规范化管理。</w:t>
            </w:r>
          </w:p>
          <w:p w14:paraId="799024E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七 电影回放、原始数据处理和检查存储管理系统</w:t>
            </w:r>
          </w:p>
          <w:p w14:paraId="5A27CDD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7.1电影回放所有模式下可用，支持手动、自动回放，支持4D 电影回放</w:t>
            </w:r>
          </w:p>
          <w:p w14:paraId="11CB3F7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▲7.2原始数据处理，最大可进行32项参数调节（包括B模式10种、M型模式6种、彩色模式7种、PW模式9种）</w:t>
            </w:r>
          </w:p>
          <w:p w14:paraId="338EE0C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7.3支持导出数字化图像格式：BMP/JPG/TIFF/DCM/AVI/MP4/WMV/MOV。</w:t>
            </w:r>
          </w:p>
          <w:p w14:paraId="4DE4753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▲7.4支持3D 打印格式文件的导出: STL/OBJ 格式。</w:t>
            </w:r>
          </w:p>
          <w:p w14:paraId="7B9126E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7.5支持后台存储，导出、备份图像数据资料同时，可进行实时检查，不影响检查操作</w:t>
            </w:r>
          </w:p>
          <w:p w14:paraId="410B152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7.6支持高性能固态硬盘存储≥1TB</w:t>
            </w:r>
          </w:p>
          <w:p w14:paraId="7609774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7.7支持外部USB 移动存储</w:t>
            </w:r>
          </w:p>
          <w:p w14:paraId="2EB4185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7.8具备数据防御系统，可对不同人群设置数据开放度及访问权限</w:t>
            </w:r>
          </w:p>
          <w:p w14:paraId="6B0D234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八系统技术参数及要求</w:t>
            </w:r>
          </w:p>
          <w:p w14:paraId="5EEE051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8.1.二维灰阶模式</w:t>
            </w:r>
          </w:p>
          <w:p w14:paraId="0305E96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8.1最大显示深度:≥40cm</w:t>
            </w:r>
          </w:p>
          <w:p w14:paraId="0207EBF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8.2动态范围:≥260dB</w:t>
            </w:r>
          </w:p>
          <w:p w14:paraId="22B55CE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8.3TGC增益补偿: ≥8段</w:t>
            </w:r>
          </w:p>
          <w:p w14:paraId="1D2458D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8.4 LGC侧向增益补偿: ≥8段</w:t>
            </w:r>
          </w:p>
          <w:p w14:paraId="2C7A03F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▲8.5成人腹部凸阵探头扫描角度:≥130度</w:t>
            </w:r>
          </w:p>
          <w:p w14:paraId="7AB39D8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8.6腔内探头扫描角度:≥210度</w:t>
            </w:r>
          </w:p>
          <w:p w14:paraId="51A6DD1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▲8.7成人心脏相控阵探头扫描角度≥90度</w:t>
            </w:r>
          </w:p>
          <w:p w14:paraId="3F4BF01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8.8电影回放：灰阶图像回放≥3000幅、回放时间≥100秒</w:t>
            </w:r>
          </w:p>
          <w:p w14:paraId="1FD9D96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8.2彩色多普勒成像</w:t>
            </w:r>
          </w:p>
          <w:p w14:paraId="438C943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8.2.1 显示方式：B/C、B/C/M、B/C/PW</w:t>
            </w:r>
          </w:p>
          <w:p w14:paraId="3E93DF4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8.2.2 取样框偏转: ≥±30度</w:t>
            </w:r>
          </w:p>
          <w:p w14:paraId="7BE313A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8.2.3支持速度、速度方差、能量、方向能量显示</w:t>
            </w:r>
          </w:p>
          <w:p w14:paraId="7FB2796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8.2.4支持立体血流显示</w:t>
            </w:r>
          </w:p>
          <w:p w14:paraId="10DB7F0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8.3 频谱多普勒模式</w:t>
            </w:r>
          </w:p>
          <w:p w14:paraId="1BFA31A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8.3.1 显示方式：B， PW， B/PW， B/C/PW，B/CW</w:t>
            </w:r>
          </w:p>
          <w:p w14:paraId="45684B1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8.3.2 频谱多普勒频率≥ 3 段</w:t>
            </w:r>
          </w:p>
          <w:p w14:paraId="348B383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8.3.3最大速度: PW血流速度≥8m/s，CW血流速度: ≥30m/s</w:t>
            </w:r>
          </w:p>
          <w:p w14:paraId="443C793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8.3.4最小速度: ≤1 mm /s</w:t>
            </w:r>
          </w:p>
          <w:p w14:paraId="7764584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 xml:space="preserve">8.3.5PW取样容积: 0.5-30mm </w:t>
            </w:r>
          </w:p>
          <w:p w14:paraId="062A40F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 xml:space="preserve">8.3.6PW偏转角度: ≥±30度 </w:t>
            </w:r>
          </w:p>
          <w:p w14:paraId="516EBE7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九 连通性要求</w:t>
            </w:r>
          </w:p>
          <w:p w14:paraId="409A0D0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9.1支持网络连接</w:t>
            </w:r>
          </w:p>
          <w:p w14:paraId="4F61291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9.2支持DICOM 3.0，支持DICOM结构化报告</w:t>
            </w:r>
          </w:p>
          <w:p w14:paraId="5B1E4E3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▲9.3支持网络存储功能，基于TCP/IP 协议的网络共享功能，可将超声图像及报告直接传送到PC 端。</w:t>
            </w:r>
          </w:p>
          <w:p w14:paraId="2782109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9.4电脑端可将自定义报告模板和测试项导入到超声系统</w:t>
            </w:r>
          </w:p>
          <w:p w14:paraId="1D118D3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▲9.5支持Type-C数据传输接口</w:t>
            </w:r>
          </w:p>
          <w:p w14:paraId="6752BA5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十 探头规格</w:t>
            </w:r>
          </w:p>
          <w:p w14:paraId="3FFAC44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▲10.1探头类型：支持单晶体凸阵探头、矩阵线阵探头、单晶体相控阵探头、单晶容积探头、单晶体腔内探头、一线一凸双平面探头</w:t>
            </w:r>
          </w:p>
          <w:p w14:paraId="095E004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▲10.2探头阵元数：≥1000阵元</w:t>
            </w:r>
          </w:p>
          <w:p w14:paraId="397405B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10.2标配5把探头</w:t>
            </w:r>
          </w:p>
          <w:p w14:paraId="3D12601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10.3高频探头最高频率≥20MHz</w:t>
            </w:r>
          </w:p>
          <w:p w14:paraId="146134C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10.4单晶体凸阵探头频率：1.2-6.0 MHz</w:t>
            </w:r>
          </w:p>
          <w:p w14:paraId="1D17AEE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10.5线阵探头频率：4.0-18.0 MHz</w:t>
            </w:r>
          </w:p>
          <w:p w14:paraId="0B192CB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10.6单晶体腔内探头频率:  2.0-9.0 MHz</w:t>
            </w:r>
          </w:p>
          <w:p w14:paraId="3156F98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10.7单晶体相控阵探头频率：1.5-4.0MHZ</w:t>
            </w:r>
          </w:p>
          <w:p w14:paraId="38F35E9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十一 外设和附件及其他要求</w:t>
            </w:r>
          </w:p>
          <w:p w14:paraId="058A699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11.1耦合剂加热器，支持实体按键开关，温度多级可调</w:t>
            </w:r>
          </w:p>
          <w:p w14:paraId="5E59D52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11.2支持内置无线网卡</w:t>
            </w:r>
          </w:p>
        </w:tc>
        <w:tc>
          <w:tcPr>
            <w:tcW w:w="454" w:type="pct"/>
            <w:tcBorders>
              <w:top w:val="single" w:color="auto" w:sz="4" w:space="0"/>
              <w:left w:val="nil"/>
              <w:bottom w:val="single" w:color="auto" w:sz="4" w:space="0"/>
              <w:right w:val="single" w:color="auto" w:sz="4" w:space="0"/>
            </w:tcBorders>
            <w:shd w:val="clear" w:color="auto" w:fill="FFFFFF"/>
            <w:vAlign w:val="center"/>
          </w:tcPr>
          <w:p w14:paraId="37126BE6">
            <w:pPr>
              <w:widowControl/>
              <w:tabs>
                <w:tab w:val="left" w:pos="900"/>
              </w:tabs>
              <w:jc w:val="center"/>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套</w:t>
            </w:r>
          </w:p>
        </w:tc>
        <w:tc>
          <w:tcPr>
            <w:tcW w:w="454" w:type="pct"/>
            <w:tcBorders>
              <w:top w:val="single" w:color="auto" w:sz="4" w:space="0"/>
              <w:left w:val="nil"/>
              <w:bottom w:val="single" w:color="auto" w:sz="4" w:space="0"/>
              <w:right w:val="single" w:color="auto" w:sz="4" w:space="0"/>
            </w:tcBorders>
            <w:shd w:val="clear" w:color="auto" w:fill="FFFFFF"/>
            <w:vAlign w:val="center"/>
          </w:tcPr>
          <w:p w14:paraId="3639B2B1">
            <w:pPr>
              <w:widowControl/>
              <w:tabs>
                <w:tab w:val="left" w:pos="900"/>
              </w:tabs>
              <w:jc w:val="center"/>
              <w:textAlignment w:val="center"/>
              <w:rPr>
                <w:rFonts w:hint="eastAsia" w:ascii="宋体" w:hAnsi="宋体" w:eastAsia="宋体" w:cs="Arial"/>
                <w:color w:val="auto"/>
                <w:kern w:val="0"/>
                <w:sz w:val="24"/>
                <w:szCs w:val="24"/>
                <w:highlight w:val="none"/>
                <w:lang w:eastAsia="zh-CN"/>
              </w:rPr>
            </w:pPr>
            <w:r>
              <w:rPr>
                <w:rFonts w:hint="eastAsia" w:ascii="宋体" w:hAnsi="宋体" w:eastAsia="宋体" w:cs="Arial"/>
                <w:color w:val="auto"/>
                <w:kern w:val="0"/>
                <w:sz w:val="24"/>
                <w:szCs w:val="24"/>
                <w:highlight w:val="none"/>
                <w:lang w:val="en-US" w:eastAsia="zh-CN"/>
              </w:rPr>
              <w:t>1</w:t>
            </w:r>
          </w:p>
        </w:tc>
        <w:tc>
          <w:tcPr>
            <w:tcW w:w="618" w:type="pct"/>
            <w:tcBorders>
              <w:top w:val="single" w:color="auto" w:sz="4" w:space="0"/>
              <w:left w:val="nil"/>
              <w:bottom w:val="single" w:color="auto" w:sz="4" w:space="0"/>
              <w:right w:val="single" w:color="auto" w:sz="4" w:space="0"/>
            </w:tcBorders>
            <w:vAlign w:val="center"/>
          </w:tcPr>
          <w:p w14:paraId="093E8F07">
            <w:pPr>
              <w:widowControl/>
              <w:jc w:val="center"/>
              <w:rPr>
                <w:rFonts w:hint="eastAsia" w:ascii="宋体" w:hAnsi="宋体" w:eastAsia="宋体" w:cs="Arial"/>
                <w:color w:val="auto"/>
                <w:kern w:val="0"/>
                <w:sz w:val="24"/>
                <w:szCs w:val="24"/>
                <w:highlight w:val="none"/>
                <w:lang w:eastAsia="zh-CN"/>
              </w:rPr>
            </w:pPr>
            <w:r>
              <w:rPr>
                <w:rFonts w:hint="eastAsia" w:ascii="宋体" w:hAnsi="宋体" w:eastAsia="宋体" w:cs="Arial"/>
                <w:color w:val="auto"/>
                <w:kern w:val="0"/>
                <w:sz w:val="24"/>
                <w:szCs w:val="24"/>
                <w:highlight w:val="none"/>
                <w:lang w:val="en-US" w:eastAsia="zh-CN"/>
              </w:rPr>
              <w:t>是</w:t>
            </w:r>
          </w:p>
        </w:tc>
      </w:tr>
    </w:tbl>
    <w:p w14:paraId="43FF63F1">
      <w:pPr>
        <w:spacing w:line="360" w:lineRule="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注：</w:t>
      </w:r>
    </w:p>
    <w:p w14:paraId="5DDA0464">
      <w:pPr>
        <w:spacing w:line="360" w:lineRule="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1.以上所列产品，投标人中标后须确保提供均为未使用过的全新产品，同时须确保与</w:t>
      </w:r>
      <w:r>
        <w:rPr>
          <w:rFonts w:hint="eastAsia" w:ascii="宋体" w:hAnsi="宋体" w:eastAsia="宋体" w:cs="宋体"/>
          <w:bCs/>
          <w:color w:val="auto"/>
          <w:sz w:val="24"/>
          <w:szCs w:val="24"/>
          <w:highlight w:val="none"/>
          <w:lang w:val="en-US" w:eastAsia="zh-CN"/>
        </w:rPr>
        <w:t>现有</w:t>
      </w:r>
      <w:r>
        <w:rPr>
          <w:rFonts w:hint="eastAsia" w:ascii="宋体" w:hAnsi="宋体" w:eastAsia="宋体" w:cs="宋体"/>
          <w:bCs/>
          <w:color w:val="auto"/>
          <w:sz w:val="24"/>
          <w:szCs w:val="24"/>
          <w:highlight w:val="none"/>
        </w:rPr>
        <w:t>设备及系统连贯</w:t>
      </w:r>
      <w:r>
        <w:rPr>
          <w:rFonts w:hint="eastAsia" w:ascii="宋体" w:hAnsi="宋体" w:eastAsia="宋体" w:cs="宋体"/>
          <w:bCs/>
          <w:color w:val="auto"/>
          <w:sz w:val="24"/>
          <w:szCs w:val="24"/>
          <w:highlight w:val="none"/>
          <w:lang w:val="en-US" w:eastAsia="zh-CN"/>
        </w:rPr>
        <w:t>使用</w:t>
      </w:r>
      <w:r>
        <w:rPr>
          <w:rFonts w:hint="eastAsia" w:ascii="宋体" w:hAnsi="宋体" w:eastAsia="宋体" w:cs="宋体"/>
          <w:bCs/>
          <w:color w:val="auto"/>
          <w:sz w:val="24"/>
          <w:szCs w:val="24"/>
          <w:highlight w:val="none"/>
        </w:rPr>
        <w:t>，否则上述设备不予进场，结算时不予计量。</w:t>
      </w:r>
    </w:p>
    <w:p w14:paraId="0F839A79">
      <w:pPr>
        <w:spacing w:line="360" w:lineRule="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val="en-US" w:eastAsia="zh-CN"/>
        </w:rPr>
        <w:t>2</w:t>
      </w:r>
      <w:r>
        <w:rPr>
          <w:rFonts w:hint="eastAsia" w:ascii="宋体" w:hAnsi="宋体" w:eastAsia="宋体" w:cs="宋体"/>
          <w:bCs/>
          <w:color w:val="auto"/>
          <w:sz w:val="24"/>
          <w:szCs w:val="24"/>
          <w:highlight w:val="none"/>
        </w:rPr>
        <w:t>.投标人中标后须确保其提供的各类软件及相关智能化资源内容具备免费接口，可供后期其他资源及平台无缝免费对接，同时各类软件内容需根据招标人要求适时更新升级，以上因对接和更新升级所产生的所有费用由中标人承担，后期结算不予体现。</w:t>
      </w:r>
    </w:p>
    <w:p w14:paraId="43F784F3">
      <w:pPr>
        <w:spacing w:line="360" w:lineRule="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val="en-US" w:eastAsia="zh-CN"/>
        </w:rPr>
        <w:t>3</w:t>
      </w:r>
      <w:r>
        <w:rPr>
          <w:rFonts w:hint="eastAsia" w:ascii="宋体" w:hAnsi="宋体" w:eastAsia="宋体" w:cs="宋体"/>
          <w:bCs/>
          <w:color w:val="auto"/>
          <w:sz w:val="24"/>
          <w:szCs w:val="24"/>
          <w:highlight w:val="none"/>
        </w:rPr>
        <w:t>.投标人一旦中标不得以任何理由要求招标人增加费用。一旦出现，招标人将报呈监管部门取消其中标资格，并按照相关规定处理。</w:t>
      </w:r>
    </w:p>
    <w:p w14:paraId="4D589C6B">
      <w:pPr>
        <w:spacing w:line="360" w:lineRule="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val="en-US" w:eastAsia="zh-CN"/>
        </w:rPr>
        <w:t>4</w:t>
      </w:r>
      <w:r>
        <w:rPr>
          <w:rFonts w:hint="eastAsia" w:ascii="宋体" w:hAnsi="宋体" w:eastAsia="宋体" w:cs="宋体"/>
          <w:bCs/>
          <w:color w:val="auto"/>
          <w:sz w:val="24"/>
          <w:szCs w:val="24"/>
          <w:highlight w:val="none"/>
        </w:rPr>
        <w:t>.中标单位确保使用人员能够熟练操作相关系统，免费负责设备的安装调试、如设备出现故障，接到通知后2小时内响应，12小时内工程人员应到达现场并予以解决</w:t>
      </w:r>
    </w:p>
    <w:p w14:paraId="30CB0B6C">
      <w:pPr>
        <w:spacing w:line="360" w:lineRule="auto"/>
        <w:ind w:firstLine="482"/>
        <w:outlineLvl w:val="1"/>
        <w:rPr>
          <w:rFonts w:hint="eastAsia" w:ascii="宋体" w:hAnsi="宋体" w:eastAsia="宋体" w:cs="宋体"/>
          <w:b/>
          <w:bCs/>
          <w:color w:val="auto"/>
          <w:sz w:val="24"/>
          <w:szCs w:val="24"/>
          <w:highlight w:val="none"/>
        </w:rPr>
      </w:pPr>
      <w:bookmarkStart w:id="47" w:name="_Toc221656359"/>
      <w:r>
        <w:rPr>
          <w:rFonts w:hint="eastAsia" w:ascii="宋体" w:hAnsi="宋体" w:eastAsia="宋体" w:cs="宋体"/>
          <w:b/>
          <w:bCs/>
          <w:color w:val="auto"/>
          <w:sz w:val="24"/>
          <w:szCs w:val="24"/>
          <w:highlight w:val="none"/>
        </w:rPr>
        <w:t>三、报价要求</w:t>
      </w:r>
      <w:bookmarkEnd w:id="47"/>
    </w:p>
    <w:p w14:paraId="7881F5F0">
      <w:pPr>
        <w:spacing w:line="360" w:lineRule="auto"/>
        <w:ind w:firstLine="48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1.本项目按照全费用综合单价进行报价，投标报价不得超过最高限价。</w:t>
      </w:r>
    </w:p>
    <w:p w14:paraId="2CC4F1DF">
      <w:pPr>
        <w:spacing w:line="360" w:lineRule="auto"/>
        <w:ind w:firstLine="48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投标报价应包含所供货物及所需软件购置费、包装费、运输费、人工费、保险费、安装调试费、各种税费、资料费、售后培训服务费、免费质保期内所有产品升级维保费、设备系统端口对接可能产生的费用、联调联试等完成项目应有的全部费用，采购人不再支付任何费用。</w:t>
      </w:r>
    </w:p>
    <w:p w14:paraId="70CFD037">
      <w:pPr>
        <w:spacing w:line="360" w:lineRule="auto"/>
        <w:ind w:firstLine="48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3.投标人一旦中标不得以任何理由要求招标人增加费用。一旦出现，招标人将报呈监管部门取消其中标资格，并按照相关规定处理。</w:t>
      </w:r>
    </w:p>
    <w:p w14:paraId="66B5EEFA">
      <w:pPr>
        <w:spacing w:line="360" w:lineRule="auto"/>
        <w:ind w:firstLine="482"/>
        <w:outlineLvl w:val="1"/>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四</w:t>
      </w:r>
      <w:r>
        <w:rPr>
          <w:rFonts w:hint="eastAsia" w:ascii="宋体" w:hAnsi="宋体" w:eastAsia="宋体" w:cs="宋体"/>
          <w:b/>
          <w:bCs/>
          <w:color w:val="auto"/>
          <w:sz w:val="24"/>
          <w:szCs w:val="24"/>
          <w:highlight w:val="none"/>
        </w:rPr>
        <w:t>、其他要求</w:t>
      </w:r>
    </w:p>
    <w:p w14:paraId="35F0414B">
      <w:pPr>
        <w:spacing w:line="360" w:lineRule="auto"/>
        <w:ind w:firstLine="48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w:t>
      </w:r>
      <w:r>
        <w:rPr>
          <w:rFonts w:hint="eastAsia" w:ascii="宋体" w:hAnsi="宋体" w:eastAsia="宋体" w:cs="宋体"/>
          <w:bCs/>
          <w:color w:val="auto"/>
          <w:sz w:val="24"/>
          <w:szCs w:val="24"/>
          <w:highlight w:val="none"/>
          <w:lang w:val="en-US" w:eastAsia="zh-CN"/>
        </w:rPr>
        <w:t>.各包</w:t>
      </w:r>
      <w:r>
        <w:rPr>
          <w:rFonts w:hint="eastAsia" w:ascii="宋体" w:hAnsi="宋体" w:eastAsia="宋体" w:cs="宋体"/>
          <w:bCs/>
          <w:color w:val="auto"/>
          <w:sz w:val="24"/>
          <w:szCs w:val="24"/>
          <w:highlight w:val="none"/>
        </w:rPr>
        <w:t>需按照</w:t>
      </w:r>
      <w:r>
        <w:rPr>
          <w:rFonts w:hint="eastAsia" w:ascii="宋体" w:hAnsi="宋体" w:eastAsia="宋体" w:cs="宋体"/>
          <w:bCs/>
          <w:color w:val="auto"/>
          <w:sz w:val="24"/>
          <w:szCs w:val="24"/>
          <w:highlight w:val="none"/>
          <w:lang w:val="en-US" w:eastAsia="zh-CN"/>
        </w:rPr>
        <w:t>医院</w:t>
      </w:r>
      <w:r>
        <w:rPr>
          <w:rFonts w:hint="eastAsia" w:ascii="宋体" w:hAnsi="宋体" w:eastAsia="宋体" w:cs="宋体"/>
          <w:bCs/>
          <w:color w:val="auto"/>
          <w:sz w:val="24"/>
          <w:szCs w:val="24"/>
          <w:highlight w:val="none"/>
        </w:rPr>
        <w:t>使用需求配备</w:t>
      </w:r>
      <w:r>
        <w:rPr>
          <w:rFonts w:hint="eastAsia" w:ascii="宋体" w:hAnsi="宋体" w:eastAsia="宋体" w:cs="宋体"/>
          <w:bCs/>
          <w:color w:val="auto"/>
          <w:sz w:val="24"/>
          <w:szCs w:val="24"/>
          <w:highlight w:val="none"/>
          <w:lang w:val="en-US" w:eastAsia="zh-CN"/>
        </w:rPr>
        <w:t>相应</w:t>
      </w:r>
      <w:r>
        <w:rPr>
          <w:rFonts w:hint="eastAsia" w:ascii="宋体" w:hAnsi="宋体" w:eastAsia="宋体" w:cs="宋体"/>
          <w:bCs/>
          <w:color w:val="auto"/>
          <w:sz w:val="24"/>
          <w:szCs w:val="24"/>
          <w:highlight w:val="none"/>
        </w:rPr>
        <w:t>工作站。</w:t>
      </w:r>
    </w:p>
    <w:p w14:paraId="7DFC90D3">
      <w:pPr>
        <w:spacing w:line="360" w:lineRule="auto"/>
        <w:ind w:firstLine="48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w:t>
      </w:r>
      <w:r>
        <w:rPr>
          <w:rFonts w:hint="eastAsia" w:ascii="宋体" w:hAnsi="宋体" w:eastAsia="宋体" w:cs="宋体"/>
          <w:bCs/>
          <w:color w:val="auto"/>
          <w:sz w:val="24"/>
          <w:szCs w:val="24"/>
          <w:highlight w:val="none"/>
          <w:lang w:val="en-US" w:eastAsia="zh-CN"/>
        </w:rPr>
        <w:t>.</w:t>
      </w:r>
      <w:r>
        <w:rPr>
          <w:rFonts w:hint="eastAsia" w:ascii="宋体" w:hAnsi="宋体" w:eastAsia="宋体" w:cs="宋体"/>
          <w:bCs/>
          <w:color w:val="auto"/>
          <w:sz w:val="24"/>
          <w:szCs w:val="24"/>
          <w:highlight w:val="none"/>
        </w:rPr>
        <w:t>中标人须</w:t>
      </w:r>
      <w:r>
        <w:rPr>
          <w:rFonts w:hint="eastAsia" w:ascii="宋体" w:hAnsi="宋体" w:eastAsia="宋体" w:cs="宋体"/>
          <w:bCs/>
          <w:color w:val="auto"/>
          <w:sz w:val="24"/>
          <w:szCs w:val="24"/>
          <w:highlight w:val="none"/>
          <w:lang w:val="en-US" w:eastAsia="zh-CN"/>
        </w:rPr>
        <w:t>按采购人要求</w:t>
      </w:r>
      <w:r>
        <w:rPr>
          <w:rFonts w:hint="eastAsia" w:ascii="宋体" w:hAnsi="宋体" w:eastAsia="宋体" w:cs="宋体"/>
          <w:bCs/>
          <w:color w:val="auto"/>
          <w:sz w:val="24"/>
          <w:szCs w:val="24"/>
          <w:highlight w:val="none"/>
        </w:rPr>
        <w:t>完成机房及操作间等的装修及土建改造工作（交钥匙工程，中标人需提供相应图纸，经过招标人确定后实施），主要内容包括但不限于：地面基础、地面回填、电缆沟砌筑，PVC地面，生态木板材墙面，铝扣板吊顶，照明，配电箱，</w:t>
      </w:r>
      <w:r>
        <w:rPr>
          <w:rFonts w:hint="eastAsia" w:ascii="宋体" w:hAnsi="宋体" w:eastAsia="宋体" w:cs="宋体"/>
          <w:bCs/>
          <w:color w:val="auto"/>
          <w:sz w:val="24"/>
          <w:szCs w:val="24"/>
          <w:highlight w:val="none"/>
          <w:lang w:val="en-US" w:eastAsia="zh-CN"/>
        </w:rPr>
        <w:t>主材辅材（含电线电缆）</w:t>
      </w:r>
      <w:r>
        <w:rPr>
          <w:rFonts w:hint="eastAsia" w:ascii="宋体" w:hAnsi="宋体" w:eastAsia="宋体" w:cs="宋体"/>
          <w:bCs/>
          <w:color w:val="auto"/>
          <w:sz w:val="24"/>
          <w:szCs w:val="24"/>
          <w:highlight w:val="none"/>
          <w:lang w:val="en-US" w:eastAsia="zh-CN"/>
        </w:rPr>
        <w:t>、</w:t>
      </w:r>
      <w:r>
        <w:rPr>
          <w:rFonts w:hint="eastAsia" w:ascii="宋体" w:hAnsi="宋体" w:eastAsia="宋体" w:cs="宋体"/>
          <w:bCs/>
          <w:color w:val="auto"/>
          <w:sz w:val="24"/>
          <w:szCs w:val="24"/>
          <w:highlight w:val="none"/>
        </w:rPr>
        <w:t>屏蔽窗及相关屏蔽，失超管等施工，并提供磁屏蔽验收报告。</w:t>
      </w:r>
    </w:p>
    <w:p w14:paraId="2BBAE715">
      <w:pPr>
        <w:spacing w:line="360" w:lineRule="auto"/>
        <w:ind w:firstLine="48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3</w:t>
      </w:r>
      <w:r>
        <w:rPr>
          <w:rFonts w:hint="eastAsia" w:ascii="宋体" w:hAnsi="宋体" w:eastAsia="宋体" w:cs="宋体"/>
          <w:bCs/>
          <w:color w:val="auto"/>
          <w:sz w:val="24"/>
          <w:szCs w:val="24"/>
          <w:highlight w:val="none"/>
          <w:lang w:val="en-US" w:eastAsia="zh-CN"/>
        </w:rPr>
        <w:t>.</w:t>
      </w:r>
      <w:r>
        <w:rPr>
          <w:rFonts w:hint="eastAsia" w:ascii="宋体" w:hAnsi="宋体" w:eastAsia="宋体" w:cs="宋体"/>
          <w:bCs/>
          <w:color w:val="auto"/>
          <w:sz w:val="24"/>
          <w:szCs w:val="24"/>
          <w:highlight w:val="none"/>
        </w:rPr>
        <w:t>本项目所有货物安装须满足科室及设备实际使用需求，过程中如涉及水电、房屋改造，此部分费用包含在投标报价中，采购人不再另行支付。</w:t>
      </w:r>
    </w:p>
    <w:p w14:paraId="1A7FD141">
      <w:pPr>
        <w:spacing w:line="360" w:lineRule="auto"/>
        <w:ind w:firstLine="48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4</w:t>
      </w:r>
      <w:r>
        <w:rPr>
          <w:rFonts w:hint="eastAsia" w:ascii="宋体" w:hAnsi="宋体" w:eastAsia="宋体" w:cs="宋体"/>
          <w:bCs/>
          <w:color w:val="auto"/>
          <w:sz w:val="24"/>
          <w:szCs w:val="24"/>
          <w:highlight w:val="none"/>
          <w:lang w:val="en-US" w:eastAsia="zh-CN"/>
        </w:rPr>
        <w:t>.</w:t>
      </w:r>
      <w:r>
        <w:rPr>
          <w:rFonts w:hint="eastAsia" w:ascii="宋体" w:hAnsi="宋体" w:eastAsia="宋体" w:cs="宋体"/>
          <w:bCs/>
          <w:color w:val="auto"/>
          <w:sz w:val="24"/>
          <w:szCs w:val="24"/>
          <w:highlight w:val="none"/>
        </w:rPr>
        <w:t>中标人不得以任何方式向第三方披露、转让和许可有关采购人的秘密信息、用户资料等项目相关信息。</w:t>
      </w:r>
    </w:p>
    <w:p w14:paraId="348B6AE7">
      <w:pPr>
        <w:spacing w:line="360" w:lineRule="auto"/>
        <w:ind w:firstLine="480" w:firstLineChars="200"/>
        <w:rPr>
          <w:rFonts w:hint="eastAsia"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br w:type="page"/>
      </w:r>
    </w:p>
    <w:p w14:paraId="6390F3E9">
      <w:pPr>
        <w:spacing w:line="360" w:lineRule="auto"/>
        <w:jc w:val="center"/>
        <w:outlineLvl w:val="0"/>
        <w:rPr>
          <w:rFonts w:hint="eastAsia" w:asciiTheme="minorEastAsia" w:hAnsiTheme="minorEastAsia" w:eastAsiaTheme="minorEastAsia"/>
          <w:b/>
          <w:color w:val="auto"/>
          <w:sz w:val="28"/>
          <w:highlight w:val="none"/>
        </w:rPr>
      </w:pPr>
      <w:bookmarkStart w:id="48" w:name="_Toc221656360"/>
      <w:r>
        <w:rPr>
          <w:rFonts w:hint="eastAsia" w:asciiTheme="minorEastAsia" w:hAnsiTheme="minorEastAsia" w:eastAsiaTheme="minorEastAsia"/>
          <w:b/>
          <w:color w:val="auto"/>
          <w:sz w:val="28"/>
          <w:highlight w:val="none"/>
        </w:rPr>
        <w:t>第四章  评标方法和标准（综合评分法）</w:t>
      </w:r>
      <w:bookmarkEnd w:id="48"/>
    </w:p>
    <w:p w14:paraId="4AEA233C">
      <w:pPr>
        <w:spacing w:line="360" w:lineRule="auto"/>
        <w:ind w:firstLine="437"/>
        <w:outlineLvl w:val="1"/>
        <w:rPr>
          <w:rFonts w:hint="eastAsia" w:asciiTheme="minorEastAsia" w:hAnsiTheme="minorEastAsia" w:eastAsiaTheme="minorEastAsia"/>
          <w:b/>
          <w:color w:val="auto"/>
          <w:sz w:val="24"/>
          <w:highlight w:val="none"/>
        </w:rPr>
      </w:pPr>
      <w:bookmarkStart w:id="49" w:name="_Toc221656361"/>
      <w:bookmarkStart w:id="50" w:name="_Toc11823"/>
      <w:bookmarkStart w:id="51" w:name="_Toc1246"/>
      <w:r>
        <w:rPr>
          <w:rFonts w:hint="eastAsia" w:asciiTheme="minorEastAsia" w:hAnsiTheme="minorEastAsia" w:eastAsiaTheme="minorEastAsia"/>
          <w:b/>
          <w:color w:val="auto"/>
          <w:sz w:val="24"/>
          <w:highlight w:val="none"/>
        </w:rPr>
        <w:t>一、总则</w:t>
      </w:r>
      <w:bookmarkEnd w:id="49"/>
      <w:bookmarkEnd w:id="50"/>
      <w:bookmarkEnd w:id="51"/>
    </w:p>
    <w:p w14:paraId="13569CBA">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本项目将按照招标文件第二章 投标人须知的相关要求</w:t>
      </w:r>
      <w:r>
        <w:rPr>
          <w:rFonts w:asciiTheme="minorEastAsia" w:hAnsiTheme="minorEastAsia" w:eastAsiaTheme="minorEastAsia"/>
          <w:color w:val="auto"/>
          <w:sz w:val="24"/>
          <w:highlight w:val="none"/>
        </w:rPr>
        <w:t>及本章的规定评标。</w:t>
      </w:r>
    </w:p>
    <w:p w14:paraId="7CC73C92">
      <w:pPr>
        <w:spacing w:line="360" w:lineRule="auto"/>
        <w:ind w:firstLine="437"/>
        <w:outlineLvl w:val="1"/>
        <w:rPr>
          <w:rFonts w:hint="eastAsia" w:asciiTheme="minorEastAsia" w:hAnsiTheme="minorEastAsia" w:eastAsiaTheme="minorEastAsia"/>
          <w:b/>
          <w:color w:val="auto"/>
          <w:sz w:val="24"/>
          <w:highlight w:val="none"/>
        </w:rPr>
      </w:pPr>
      <w:bookmarkStart w:id="52" w:name="_Toc31871"/>
      <w:bookmarkStart w:id="53" w:name="_Toc13117"/>
      <w:bookmarkStart w:id="54" w:name="_Toc221656362"/>
      <w:r>
        <w:rPr>
          <w:rFonts w:hint="eastAsia" w:asciiTheme="minorEastAsia" w:hAnsiTheme="minorEastAsia" w:eastAsiaTheme="minorEastAsia"/>
          <w:b/>
          <w:color w:val="auto"/>
          <w:sz w:val="24"/>
          <w:highlight w:val="none"/>
        </w:rPr>
        <w:t>二、评标方法</w:t>
      </w:r>
      <w:bookmarkEnd w:id="52"/>
      <w:bookmarkEnd w:id="53"/>
      <w:bookmarkEnd w:id="54"/>
    </w:p>
    <w:p w14:paraId="026BA54E">
      <w:pPr>
        <w:spacing w:line="360" w:lineRule="auto"/>
        <w:ind w:firstLine="437"/>
        <w:outlineLvl w:val="2"/>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2.1资格审查</w:t>
      </w:r>
    </w:p>
    <w:tbl>
      <w:tblPr>
        <w:tblStyle w:val="25"/>
        <w:tblW w:w="514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5"/>
        <w:gridCol w:w="1651"/>
        <w:gridCol w:w="4561"/>
        <w:gridCol w:w="1884"/>
      </w:tblGrid>
      <w:tr w14:paraId="09636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5000" w:type="pct"/>
            <w:gridSpan w:val="4"/>
            <w:tcBorders>
              <w:bottom w:val="single" w:color="auto" w:sz="4" w:space="0"/>
            </w:tcBorders>
            <w:vAlign w:val="center"/>
          </w:tcPr>
          <w:p w14:paraId="76B142FA">
            <w:pPr>
              <w:adjustRightInd w:val="0"/>
              <w:snapToGrid w:val="0"/>
              <w:spacing w:line="360" w:lineRule="auto"/>
              <w:ind w:right="-10"/>
              <w:jc w:val="center"/>
              <w:rPr>
                <w:rFonts w:hint="eastAsia" w:ascii="宋体" w:hAnsi="宋体" w:eastAsia="宋体"/>
                <w:color w:val="auto"/>
                <w:sz w:val="24"/>
                <w:highlight w:val="none"/>
              </w:rPr>
            </w:pPr>
            <w:r>
              <w:rPr>
                <w:rFonts w:hint="eastAsia" w:ascii="宋体" w:hAnsi="宋体" w:eastAsia="宋体"/>
                <w:b/>
                <w:color w:val="auto"/>
                <w:sz w:val="24"/>
                <w:szCs w:val="22"/>
                <w:highlight w:val="none"/>
              </w:rPr>
              <w:t>资格审查表</w:t>
            </w:r>
          </w:p>
        </w:tc>
      </w:tr>
      <w:tr w14:paraId="3455C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0" w:type="pct"/>
            <w:tcBorders>
              <w:bottom w:val="single" w:color="auto" w:sz="4" w:space="0"/>
            </w:tcBorders>
            <w:vAlign w:val="center"/>
          </w:tcPr>
          <w:p w14:paraId="44675949">
            <w:pPr>
              <w:adjustRightInd w:val="0"/>
              <w:snapToGrid w:val="0"/>
              <w:spacing w:line="360" w:lineRule="auto"/>
              <w:ind w:right="-10"/>
              <w:jc w:val="center"/>
              <w:rPr>
                <w:rFonts w:hint="eastAsia" w:ascii="宋体" w:hAnsi="宋体" w:eastAsia="宋体"/>
                <w:color w:val="auto"/>
                <w:sz w:val="24"/>
                <w:highlight w:val="none"/>
              </w:rPr>
            </w:pPr>
            <w:r>
              <w:rPr>
                <w:rFonts w:hint="eastAsia" w:ascii="宋体" w:hAnsi="宋体" w:eastAsia="宋体"/>
                <w:color w:val="auto"/>
                <w:sz w:val="24"/>
                <w:highlight w:val="none"/>
              </w:rPr>
              <w:t>序号</w:t>
            </w:r>
          </w:p>
        </w:tc>
        <w:tc>
          <w:tcPr>
            <w:tcW w:w="942" w:type="pct"/>
            <w:tcBorders>
              <w:bottom w:val="single" w:color="auto" w:sz="4" w:space="0"/>
            </w:tcBorders>
            <w:vAlign w:val="center"/>
          </w:tcPr>
          <w:p w14:paraId="4BD92B92">
            <w:pPr>
              <w:pStyle w:val="35"/>
              <w:pBdr>
                <w:bottom w:val="none" w:color="auto" w:sz="0" w:space="0"/>
              </w:pBdr>
              <w:tabs>
                <w:tab w:val="clear" w:pos="4153"/>
                <w:tab w:val="clear" w:pos="8306"/>
              </w:tabs>
              <w:snapToGrid w:val="0"/>
              <w:spacing w:line="360" w:lineRule="auto"/>
              <w:ind w:right="-10"/>
              <w:textAlignment w:val="auto"/>
              <w:rPr>
                <w:rFonts w:hint="eastAsia" w:ascii="宋体" w:hAnsi="宋体" w:eastAsia="宋体"/>
                <w:color w:val="auto"/>
                <w:kern w:val="2"/>
                <w:szCs w:val="24"/>
                <w:highlight w:val="none"/>
              </w:rPr>
            </w:pPr>
            <w:r>
              <w:rPr>
                <w:rFonts w:hint="eastAsia" w:ascii="宋体" w:hAnsi="宋体" w:eastAsia="宋体"/>
                <w:color w:val="auto"/>
                <w:kern w:val="2"/>
                <w:szCs w:val="24"/>
                <w:highlight w:val="none"/>
              </w:rPr>
              <w:t>审查因素</w:t>
            </w:r>
          </w:p>
        </w:tc>
        <w:tc>
          <w:tcPr>
            <w:tcW w:w="2603" w:type="pct"/>
            <w:tcBorders>
              <w:bottom w:val="single" w:color="auto" w:sz="4" w:space="0"/>
            </w:tcBorders>
            <w:vAlign w:val="center"/>
          </w:tcPr>
          <w:p w14:paraId="65696903">
            <w:pPr>
              <w:adjustRightInd w:val="0"/>
              <w:snapToGrid w:val="0"/>
              <w:spacing w:line="360" w:lineRule="auto"/>
              <w:ind w:right="-10"/>
              <w:jc w:val="center"/>
              <w:rPr>
                <w:rFonts w:hint="eastAsia" w:ascii="宋体" w:hAnsi="宋体" w:eastAsia="宋体"/>
                <w:color w:val="auto"/>
                <w:sz w:val="24"/>
                <w:highlight w:val="none"/>
              </w:rPr>
            </w:pPr>
            <w:r>
              <w:rPr>
                <w:rFonts w:hint="eastAsia" w:ascii="宋体" w:hAnsi="宋体" w:eastAsia="宋体"/>
                <w:color w:val="auto"/>
                <w:sz w:val="24"/>
                <w:highlight w:val="none"/>
              </w:rPr>
              <w:t>审查内容</w:t>
            </w:r>
          </w:p>
        </w:tc>
        <w:tc>
          <w:tcPr>
            <w:tcW w:w="1074" w:type="pct"/>
            <w:tcBorders>
              <w:bottom w:val="single" w:color="auto" w:sz="4" w:space="0"/>
            </w:tcBorders>
            <w:vAlign w:val="center"/>
          </w:tcPr>
          <w:p w14:paraId="17EE844A">
            <w:pPr>
              <w:adjustRightInd w:val="0"/>
              <w:snapToGrid w:val="0"/>
              <w:spacing w:line="360" w:lineRule="auto"/>
              <w:ind w:right="-10"/>
              <w:jc w:val="center"/>
              <w:rPr>
                <w:rFonts w:hint="eastAsia" w:ascii="宋体" w:hAnsi="宋体" w:eastAsia="宋体"/>
                <w:color w:val="auto"/>
                <w:sz w:val="24"/>
                <w:highlight w:val="none"/>
              </w:rPr>
            </w:pPr>
            <w:r>
              <w:rPr>
                <w:rFonts w:hint="eastAsia" w:ascii="宋体" w:hAnsi="宋体" w:eastAsia="宋体"/>
                <w:color w:val="auto"/>
                <w:sz w:val="24"/>
                <w:highlight w:val="none"/>
              </w:rPr>
              <w:t>格式要求</w:t>
            </w:r>
          </w:p>
        </w:tc>
      </w:tr>
      <w:tr w14:paraId="55A9F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380" w:type="pct"/>
            <w:tcBorders>
              <w:bottom w:val="single" w:color="auto" w:sz="4" w:space="0"/>
            </w:tcBorders>
            <w:vAlign w:val="center"/>
          </w:tcPr>
          <w:p w14:paraId="5A1E0DF4">
            <w:pPr>
              <w:adjustRightInd w:val="0"/>
              <w:snapToGrid w:val="0"/>
              <w:spacing w:line="360" w:lineRule="auto"/>
              <w:ind w:right="-10"/>
              <w:jc w:val="center"/>
              <w:rPr>
                <w:rFonts w:hint="eastAsia" w:ascii="宋体" w:hAnsi="宋体" w:eastAsia="宋体"/>
                <w:color w:val="auto"/>
                <w:sz w:val="24"/>
                <w:highlight w:val="none"/>
              </w:rPr>
            </w:pPr>
            <w:r>
              <w:rPr>
                <w:rFonts w:hint="eastAsia" w:ascii="宋体" w:hAnsi="宋体" w:eastAsia="宋体"/>
                <w:color w:val="auto"/>
                <w:sz w:val="24"/>
                <w:highlight w:val="none"/>
              </w:rPr>
              <w:t>1</w:t>
            </w:r>
          </w:p>
        </w:tc>
        <w:tc>
          <w:tcPr>
            <w:tcW w:w="942" w:type="pct"/>
            <w:tcBorders>
              <w:bottom w:val="single" w:color="auto" w:sz="4" w:space="0"/>
            </w:tcBorders>
            <w:vAlign w:val="center"/>
          </w:tcPr>
          <w:p w14:paraId="4E0A26ED">
            <w:pPr>
              <w:spacing w:after="50" w:line="360" w:lineRule="auto"/>
              <w:ind w:right="-10"/>
              <w:jc w:val="center"/>
              <w:rPr>
                <w:rFonts w:hint="eastAsia" w:ascii="宋体" w:hAnsi="宋体" w:eastAsia="宋体"/>
                <w:color w:val="auto"/>
                <w:sz w:val="24"/>
                <w:szCs w:val="28"/>
                <w:highlight w:val="none"/>
              </w:rPr>
            </w:pPr>
            <w:r>
              <w:rPr>
                <w:rFonts w:ascii="宋体" w:hAnsi="宋体" w:eastAsia="宋体" w:cs="宋体"/>
                <w:color w:val="auto"/>
                <w:spacing w:val="9"/>
                <w:sz w:val="24"/>
                <w:szCs w:val="24"/>
                <w:highlight w:val="none"/>
              </w:rPr>
              <w:t>营业执照等证明</w:t>
            </w:r>
            <w:r>
              <w:rPr>
                <w:rFonts w:ascii="宋体" w:hAnsi="宋体" w:eastAsia="宋体" w:cs="宋体"/>
                <w:color w:val="auto"/>
                <w:spacing w:val="-3"/>
                <w:sz w:val="24"/>
                <w:szCs w:val="24"/>
                <w:highlight w:val="none"/>
              </w:rPr>
              <w:t>文件</w:t>
            </w:r>
          </w:p>
        </w:tc>
        <w:tc>
          <w:tcPr>
            <w:tcW w:w="2603" w:type="pct"/>
            <w:tcBorders>
              <w:bottom w:val="single" w:color="auto" w:sz="4" w:space="0"/>
            </w:tcBorders>
            <w:vAlign w:val="center"/>
          </w:tcPr>
          <w:p w14:paraId="76843167">
            <w:pPr>
              <w:spacing w:after="50" w:line="360" w:lineRule="auto"/>
              <w:ind w:right="-1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ascii="宋体" w:hAnsi="宋体" w:eastAsia="宋体" w:cs="宋体"/>
                <w:color w:val="auto"/>
                <w:sz w:val="24"/>
                <w:szCs w:val="24"/>
                <w:highlight w:val="none"/>
              </w:rPr>
              <w:t>投标人为企业（包括合伙企业）的，应</w:t>
            </w:r>
            <w:r>
              <w:rPr>
                <w:rFonts w:hint="eastAsia" w:ascii="宋体" w:hAnsi="宋体" w:eastAsia="宋体" w:cs="宋体"/>
                <w:color w:val="auto"/>
                <w:sz w:val="24"/>
                <w:szCs w:val="24"/>
                <w:highlight w:val="none"/>
              </w:rPr>
              <w:t>提</w:t>
            </w:r>
            <w:r>
              <w:rPr>
                <w:rFonts w:ascii="宋体" w:hAnsi="宋体" w:eastAsia="宋体" w:cs="宋体"/>
                <w:color w:val="auto"/>
                <w:sz w:val="24"/>
                <w:szCs w:val="24"/>
                <w:highlight w:val="none"/>
              </w:rPr>
              <w:t>供有效的营业执照；</w:t>
            </w:r>
          </w:p>
          <w:p w14:paraId="48683E6B">
            <w:pPr>
              <w:spacing w:after="50" w:line="360" w:lineRule="auto"/>
              <w:ind w:right="-1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ascii="宋体" w:hAnsi="宋体" w:eastAsia="宋体" w:cs="宋体"/>
                <w:color w:val="auto"/>
                <w:sz w:val="24"/>
                <w:szCs w:val="24"/>
                <w:highlight w:val="none"/>
              </w:rPr>
              <w:t>投标人为事业单位的，应</w:t>
            </w:r>
            <w:r>
              <w:rPr>
                <w:rFonts w:hint="eastAsia" w:ascii="宋体" w:hAnsi="宋体" w:eastAsia="宋体" w:cs="宋体"/>
                <w:color w:val="auto"/>
                <w:sz w:val="24"/>
                <w:szCs w:val="24"/>
                <w:highlight w:val="none"/>
              </w:rPr>
              <w:t>提</w:t>
            </w:r>
            <w:r>
              <w:rPr>
                <w:rFonts w:ascii="宋体" w:hAnsi="宋体" w:eastAsia="宋体" w:cs="宋体"/>
                <w:color w:val="auto"/>
                <w:sz w:val="24"/>
                <w:szCs w:val="24"/>
                <w:highlight w:val="none"/>
              </w:rPr>
              <w:t>供有效的事业单位法人证书；</w:t>
            </w:r>
          </w:p>
          <w:p w14:paraId="622F6E67">
            <w:pPr>
              <w:spacing w:after="50" w:line="360" w:lineRule="auto"/>
              <w:ind w:right="-1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r>
              <w:rPr>
                <w:rFonts w:ascii="宋体" w:hAnsi="宋体" w:eastAsia="宋体" w:cs="宋体"/>
                <w:color w:val="auto"/>
                <w:sz w:val="24"/>
                <w:szCs w:val="24"/>
                <w:highlight w:val="none"/>
              </w:rPr>
              <w:t>投标人是非企业机构的，应</w:t>
            </w:r>
            <w:r>
              <w:rPr>
                <w:rFonts w:hint="eastAsia" w:ascii="宋体" w:hAnsi="宋体" w:eastAsia="宋体" w:cs="宋体"/>
                <w:color w:val="auto"/>
                <w:sz w:val="24"/>
                <w:szCs w:val="24"/>
                <w:highlight w:val="none"/>
              </w:rPr>
              <w:t>提</w:t>
            </w:r>
            <w:r>
              <w:rPr>
                <w:rFonts w:ascii="宋体" w:hAnsi="宋体" w:eastAsia="宋体" w:cs="宋体"/>
                <w:color w:val="auto"/>
                <w:sz w:val="24"/>
                <w:szCs w:val="24"/>
                <w:highlight w:val="none"/>
              </w:rPr>
              <w:t>供有效的执业许可证</w:t>
            </w:r>
            <w:r>
              <w:rPr>
                <w:rFonts w:hint="eastAsia" w:ascii="宋体" w:hAnsi="宋体" w:eastAsia="宋体" w:cs="宋体"/>
                <w:color w:val="auto"/>
                <w:sz w:val="24"/>
                <w:szCs w:val="24"/>
                <w:highlight w:val="none"/>
              </w:rPr>
              <w:t>或</w:t>
            </w:r>
            <w:r>
              <w:rPr>
                <w:rFonts w:ascii="宋体" w:hAnsi="宋体" w:eastAsia="宋体" w:cs="宋体"/>
                <w:color w:val="auto"/>
                <w:sz w:val="24"/>
                <w:szCs w:val="24"/>
                <w:highlight w:val="none"/>
              </w:rPr>
              <w:t>登记证书等证明文件；</w:t>
            </w:r>
          </w:p>
          <w:p w14:paraId="50AB55F6">
            <w:pPr>
              <w:spacing w:after="50" w:line="360" w:lineRule="auto"/>
              <w:ind w:right="-1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r>
              <w:rPr>
                <w:rFonts w:ascii="宋体" w:hAnsi="宋体" w:eastAsia="宋体" w:cs="宋体"/>
                <w:color w:val="auto"/>
                <w:sz w:val="24"/>
                <w:szCs w:val="24"/>
                <w:highlight w:val="none"/>
              </w:rPr>
              <w:t>投标人是个体工商户的，应</w:t>
            </w:r>
            <w:r>
              <w:rPr>
                <w:rFonts w:hint="eastAsia" w:ascii="宋体" w:hAnsi="宋体" w:eastAsia="宋体" w:cs="宋体"/>
                <w:color w:val="auto"/>
                <w:sz w:val="24"/>
                <w:szCs w:val="24"/>
                <w:highlight w:val="none"/>
              </w:rPr>
              <w:t>提</w:t>
            </w:r>
            <w:r>
              <w:rPr>
                <w:rFonts w:ascii="宋体" w:hAnsi="宋体" w:eastAsia="宋体" w:cs="宋体"/>
                <w:color w:val="auto"/>
                <w:sz w:val="24"/>
                <w:szCs w:val="24"/>
                <w:highlight w:val="none"/>
              </w:rPr>
              <w:t>供有效的个体工商户营业执照；</w:t>
            </w:r>
          </w:p>
          <w:p w14:paraId="580D9176">
            <w:pPr>
              <w:spacing w:after="50" w:line="360" w:lineRule="auto"/>
              <w:ind w:right="-1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r>
              <w:rPr>
                <w:rFonts w:ascii="宋体" w:hAnsi="宋体" w:eastAsia="宋体" w:cs="宋体"/>
                <w:color w:val="auto"/>
                <w:sz w:val="24"/>
                <w:szCs w:val="24"/>
                <w:highlight w:val="none"/>
              </w:rPr>
              <w:t>投标人是自然人的，应</w:t>
            </w:r>
            <w:r>
              <w:rPr>
                <w:rFonts w:hint="eastAsia" w:ascii="宋体" w:hAnsi="宋体" w:eastAsia="宋体" w:cs="宋体"/>
                <w:color w:val="auto"/>
                <w:sz w:val="24"/>
                <w:szCs w:val="24"/>
                <w:highlight w:val="none"/>
              </w:rPr>
              <w:t>提</w:t>
            </w:r>
            <w:r>
              <w:rPr>
                <w:rFonts w:ascii="宋体" w:hAnsi="宋体" w:eastAsia="宋体" w:cs="宋体"/>
                <w:color w:val="auto"/>
                <w:sz w:val="24"/>
                <w:szCs w:val="24"/>
                <w:highlight w:val="none"/>
              </w:rPr>
              <w:t>供有效的自然人身份证明。</w:t>
            </w:r>
          </w:p>
        </w:tc>
        <w:tc>
          <w:tcPr>
            <w:tcW w:w="1074" w:type="pct"/>
            <w:vAlign w:val="center"/>
          </w:tcPr>
          <w:p w14:paraId="1B924691">
            <w:pPr>
              <w:spacing w:line="360" w:lineRule="auto"/>
              <w:jc w:val="left"/>
              <w:rPr>
                <w:rFonts w:hint="eastAsia" w:ascii="宋体" w:hAnsi="宋体" w:eastAsia="宋体"/>
                <w:color w:val="auto"/>
                <w:sz w:val="24"/>
                <w:highlight w:val="none"/>
              </w:rPr>
            </w:pPr>
            <w:r>
              <w:rPr>
                <w:rFonts w:hint="eastAsia" w:ascii="宋体" w:hAnsi="宋体" w:eastAsia="宋体" w:cs="宋体"/>
                <w:color w:val="auto"/>
                <w:sz w:val="24"/>
                <w:szCs w:val="24"/>
                <w:highlight w:val="none"/>
              </w:rPr>
              <w:t>提供材料扫描件或电子证照，应完整的体现出材料或电子证照全部内容。联合体投标的联合体各方均须提供。</w:t>
            </w:r>
          </w:p>
        </w:tc>
      </w:tr>
      <w:tr w14:paraId="6749A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6" w:hRule="atLeast"/>
          <w:jc w:val="center"/>
        </w:trPr>
        <w:tc>
          <w:tcPr>
            <w:tcW w:w="380" w:type="pct"/>
            <w:tcBorders>
              <w:bottom w:val="single" w:color="auto" w:sz="4" w:space="0"/>
            </w:tcBorders>
            <w:vAlign w:val="center"/>
          </w:tcPr>
          <w:p w14:paraId="74356A62">
            <w:pPr>
              <w:adjustRightInd w:val="0"/>
              <w:snapToGrid w:val="0"/>
              <w:spacing w:line="360" w:lineRule="auto"/>
              <w:ind w:right="-10"/>
              <w:jc w:val="center"/>
              <w:rPr>
                <w:rFonts w:hint="eastAsia" w:ascii="宋体" w:hAnsi="宋体" w:eastAsia="宋体"/>
                <w:color w:val="auto"/>
                <w:sz w:val="24"/>
                <w:highlight w:val="none"/>
              </w:rPr>
            </w:pPr>
            <w:r>
              <w:rPr>
                <w:rFonts w:hint="eastAsia" w:ascii="宋体" w:hAnsi="宋体" w:eastAsia="宋体"/>
                <w:color w:val="auto"/>
                <w:sz w:val="24"/>
                <w:highlight w:val="none"/>
              </w:rPr>
              <w:t>2</w:t>
            </w:r>
          </w:p>
        </w:tc>
        <w:tc>
          <w:tcPr>
            <w:tcW w:w="942" w:type="pct"/>
            <w:tcBorders>
              <w:bottom w:val="single" w:color="auto" w:sz="4" w:space="0"/>
            </w:tcBorders>
            <w:vAlign w:val="center"/>
          </w:tcPr>
          <w:p w14:paraId="403F2DC2">
            <w:pPr>
              <w:spacing w:after="50" w:line="360" w:lineRule="auto"/>
              <w:ind w:right="-10"/>
              <w:jc w:val="center"/>
              <w:rPr>
                <w:rFonts w:hint="eastAsia" w:ascii="宋体" w:hAnsi="宋体" w:eastAsia="宋体"/>
                <w:color w:val="auto"/>
                <w:sz w:val="24"/>
                <w:szCs w:val="28"/>
                <w:highlight w:val="none"/>
              </w:rPr>
            </w:pPr>
            <w:r>
              <w:rPr>
                <w:rFonts w:hint="eastAsia" w:ascii="宋体" w:hAnsi="宋体" w:eastAsia="宋体"/>
                <w:color w:val="auto"/>
                <w:sz w:val="24"/>
                <w:szCs w:val="18"/>
                <w:highlight w:val="none"/>
              </w:rPr>
              <w:t>投标人资格声明书</w:t>
            </w:r>
          </w:p>
        </w:tc>
        <w:tc>
          <w:tcPr>
            <w:tcW w:w="2603" w:type="pct"/>
            <w:tcBorders>
              <w:bottom w:val="single" w:color="auto" w:sz="4" w:space="0"/>
            </w:tcBorders>
            <w:vAlign w:val="center"/>
          </w:tcPr>
          <w:p w14:paraId="52CB4491">
            <w:pPr>
              <w:spacing w:after="50" w:line="360" w:lineRule="auto"/>
              <w:ind w:right="-10"/>
              <w:jc w:val="left"/>
              <w:rPr>
                <w:rFonts w:hint="eastAsia" w:ascii="宋体" w:hAnsi="宋体" w:eastAsia="宋体"/>
                <w:color w:val="auto"/>
                <w:sz w:val="24"/>
                <w:szCs w:val="28"/>
                <w:highlight w:val="none"/>
              </w:rPr>
            </w:pPr>
            <w:r>
              <w:rPr>
                <w:rFonts w:hint="eastAsia" w:ascii="宋体" w:hAnsi="宋体" w:eastAsia="宋体" w:cs="宋体"/>
                <w:color w:val="auto"/>
                <w:sz w:val="24"/>
                <w:szCs w:val="24"/>
                <w:highlight w:val="none"/>
              </w:rPr>
              <w:t>提</w:t>
            </w:r>
            <w:r>
              <w:rPr>
                <w:rFonts w:ascii="宋体" w:hAnsi="宋体" w:eastAsia="宋体" w:cs="宋体"/>
                <w:color w:val="auto"/>
                <w:sz w:val="24"/>
                <w:szCs w:val="24"/>
                <w:highlight w:val="none"/>
              </w:rPr>
              <w:t>供符合招标文件要求的《投标人资格声明书》</w:t>
            </w:r>
            <w:r>
              <w:rPr>
                <w:rFonts w:hint="eastAsia" w:ascii="宋体" w:hAnsi="宋体" w:eastAsia="宋体" w:cs="宋体"/>
                <w:color w:val="auto"/>
                <w:sz w:val="24"/>
                <w:szCs w:val="24"/>
                <w:highlight w:val="none"/>
              </w:rPr>
              <w:t>。</w:t>
            </w:r>
          </w:p>
        </w:tc>
        <w:tc>
          <w:tcPr>
            <w:tcW w:w="1074" w:type="pct"/>
            <w:vAlign w:val="center"/>
          </w:tcPr>
          <w:p w14:paraId="5B124764">
            <w:pPr>
              <w:spacing w:line="360" w:lineRule="auto"/>
              <w:jc w:val="left"/>
              <w:rPr>
                <w:rFonts w:hint="eastAsia" w:ascii="宋体" w:hAnsi="宋体" w:eastAsia="宋体" w:cs="宋体"/>
                <w:color w:val="auto"/>
                <w:sz w:val="24"/>
                <w:szCs w:val="24"/>
                <w:highlight w:val="none"/>
              </w:rPr>
            </w:pPr>
            <w:r>
              <w:rPr>
                <w:rFonts w:hint="eastAsia" w:ascii="宋体" w:hAnsi="宋体" w:eastAsia="宋体"/>
                <w:color w:val="auto"/>
                <w:sz w:val="24"/>
                <w:highlight w:val="none"/>
              </w:rPr>
              <w:t>详见第六章投标文件格式。</w:t>
            </w:r>
          </w:p>
        </w:tc>
      </w:tr>
      <w:tr w14:paraId="11E41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0" w:type="pct"/>
            <w:tcBorders>
              <w:bottom w:val="single" w:color="auto" w:sz="4" w:space="0"/>
            </w:tcBorders>
            <w:vAlign w:val="center"/>
          </w:tcPr>
          <w:p w14:paraId="0F14BC28">
            <w:pPr>
              <w:adjustRightInd w:val="0"/>
              <w:snapToGrid w:val="0"/>
              <w:spacing w:line="360" w:lineRule="auto"/>
              <w:ind w:right="-10"/>
              <w:jc w:val="center"/>
              <w:rPr>
                <w:rFonts w:hint="eastAsia" w:ascii="宋体" w:hAnsi="宋体" w:eastAsia="宋体"/>
                <w:color w:val="auto"/>
                <w:sz w:val="24"/>
                <w:highlight w:val="none"/>
              </w:rPr>
            </w:pPr>
            <w:r>
              <w:rPr>
                <w:rFonts w:hint="eastAsia" w:ascii="宋体" w:hAnsi="宋体" w:eastAsia="宋体"/>
                <w:color w:val="auto"/>
                <w:sz w:val="24"/>
                <w:highlight w:val="none"/>
              </w:rPr>
              <w:t>3</w:t>
            </w:r>
          </w:p>
        </w:tc>
        <w:tc>
          <w:tcPr>
            <w:tcW w:w="942" w:type="pct"/>
            <w:tcBorders>
              <w:bottom w:val="single" w:color="auto" w:sz="4" w:space="0"/>
            </w:tcBorders>
            <w:vAlign w:val="center"/>
          </w:tcPr>
          <w:p w14:paraId="29831323">
            <w:pPr>
              <w:spacing w:after="50" w:line="360" w:lineRule="auto"/>
              <w:ind w:right="-10"/>
              <w:jc w:val="center"/>
              <w:rPr>
                <w:rFonts w:hint="eastAsia" w:ascii="宋体" w:hAnsi="宋体" w:eastAsia="宋体"/>
                <w:color w:val="auto"/>
                <w:sz w:val="24"/>
                <w:szCs w:val="28"/>
                <w:highlight w:val="none"/>
              </w:rPr>
            </w:pPr>
            <w:r>
              <w:rPr>
                <w:rFonts w:hint="eastAsia" w:ascii="宋体" w:hAnsi="宋体" w:eastAsia="宋体" w:cs="宋体"/>
                <w:color w:val="auto"/>
                <w:sz w:val="24"/>
                <w:szCs w:val="24"/>
                <w:highlight w:val="none"/>
              </w:rPr>
              <w:t>投标人信用记录</w:t>
            </w:r>
          </w:p>
        </w:tc>
        <w:tc>
          <w:tcPr>
            <w:tcW w:w="2603" w:type="pct"/>
            <w:tcBorders>
              <w:bottom w:val="single" w:color="auto" w:sz="4" w:space="0"/>
            </w:tcBorders>
            <w:vAlign w:val="center"/>
          </w:tcPr>
          <w:p w14:paraId="2481FFEE">
            <w:pPr>
              <w:spacing w:after="50" w:line="360" w:lineRule="auto"/>
              <w:ind w:right="-10"/>
              <w:jc w:val="left"/>
              <w:rPr>
                <w:rFonts w:hint="eastAsia"/>
                <w:color w:val="auto"/>
                <w:highlight w:val="none"/>
              </w:rPr>
            </w:pPr>
            <w:r>
              <w:rPr>
                <w:rFonts w:hint="eastAsia" w:ascii="宋体" w:hAnsi="宋体" w:eastAsia="宋体" w:cs="宋体"/>
                <w:color w:val="auto"/>
                <w:sz w:val="24"/>
                <w:szCs w:val="24"/>
                <w:highlight w:val="none"/>
                <w:lang w:val="zh-CN"/>
              </w:rPr>
              <w:t>投标人不得存在投标人须知正文第1</w:t>
            </w:r>
            <w:r>
              <w:rPr>
                <w:rFonts w:hint="eastAsia" w:ascii="宋体" w:hAnsi="宋体" w:eastAsia="宋体" w:cs="宋体"/>
                <w:color w:val="auto"/>
                <w:sz w:val="24"/>
                <w:szCs w:val="24"/>
                <w:highlight w:val="none"/>
              </w:rPr>
              <w:t>4</w:t>
            </w:r>
            <w:r>
              <w:rPr>
                <w:rFonts w:hint="eastAsia" w:ascii="宋体" w:hAnsi="宋体" w:eastAsia="宋体" w:cs="宋体"/>
                <w:color w:val="auto"/>
                <w:sz w:val="24"/>
                <w:szCs w:val="24"/>
                <w:highlight w:val="none"/>
                <w:lang w:val="zh-CN"/>
              </w:rPr>
              <w:t>.2</w:t>
            </w:r>
            <w:r>
              <w:rPr>
                <w:rFonts w:hint="eastAsia" w:ascii="宋体" w:hAnsi="宋体" w:eastAsia="宋体" w:cs="宋体"/>
                <w:color w:val="auto"/>
                <w:sz w:val="24"/>
                <w:szCs w:val="24"/>
                <w:highlight w:val="none"/>
              </w:rPr>
              <w:t>条中</w:t>
            </w:r>
            <w:r>
              <w:rPr>
                <w:rFonts w:hint="eastAsia" w:ascii="宋体" w:hAnsi="宋体" w:eastAsia="宋体"/>
                <w:color w:val="auto"/>
                <w:sz w:val="24"/>
                <w:szCs w:val="28"/>
                <w:highlight w:val="none"/>
              </w:rPr>
              <w:t>的</w:t>
            </w:r>
            <w:r>
              <w:rPr>
                <w:rFonts w:hint="eastAsia" w:ascii="宋体" w:hAnsi="宋体" w:eastAsia="宋体"/>
                <w:color w:val="auto"/>
                <w:sz w:val="24"/>
                <w:szCs w:val="18"/>
                <w:highlight w:val="none"/>
              </w:rPr>
              <w:t>不良信用记录情形</w:t>
            </w:r>
          </w:p>
        </w:tc>
        <w:tc>
          <w:tcPr>
            <w:tcW w:w="1074" w:type="pct"/>
            <w:tcBorders>
              <w:bottom w:val="single" w:color="auto" w:sz="4" w:space="0"/>
            </w:tcBorders>
            <w:vAlign w:val="center"/>
          </w:tcPr>
          <w:p w14:paraId="2A441B9D">
            <w:pPr>
              <w:spacing w:line="360" w:lineRule="auto"/>
              <w:jc w:val="left"/>
              <w:rPr>
                <w:rFonts w:hint="eastAsia"/>
                <w:color w:val="auto"/>
                <w:highlight w:val="none"/>
              </w:rPr>
            </w:pPr>
            <w:r>
              <w:rPr>
                <w:rFonts w:hint="eastAsia" w:ascii="宋体" w:hAnsi="宋体" w:eastAsia="宋体" w:cs="宋体"/>
                <w:color w:val="auto"/>
                <w:sz w:val="24"/>
                <w:szCs w:val="24"/>
                <w:highlight w:val="none"/>
              </w:rPr>
              <w:t>无须投标人提供，由采购人或采购代理机构查询。</w:t>
            </w:r>
          </w:p>
        </w:tc>
      </w:tr>
      <w:tr w14:paraId="28396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0" w:type="pct"/>
            <w:tcBorders>
              <w:bottom w:val="single" w:color="auto" w:sz="4" w:space="0"/>
            </w:tcBorders>
            <w:vAlign w:val="center"/>
          </w:tcPr>
          <w:p w14:paraId="76E5BA62">
            <w:pPr>
              <w:adjustRightInd w:val="0"/>
              <w:snapToGrid w:val="0"/>
              <w:spacing w:line="360" w:lineRule="auto"/>
              <w:ind w:right="-10"/>
              <w:jc w:val="center"/>
              <w:rPr>
                <w:rFonts w:hint="eastAsia" w:ascii="宋体" w:hAnsi="宋体" w:eastAsia="宋体"/>
                <w:color w:val="auto"/>
                <w:sz w:val="24"/>
                <w:highlight w:val="none"/>
              </w:rPr>
            </w:pPr>
            <w:r>
              <w:rPr>
                <w:rFonts w:hint="eastAsia" w:ascii="宋体" w:hAnsi="宋体" w:eastAsia="宋体"/>
                <w:color w:val="auto"/>
                <w:sz w:val="24"/>
                <w:highlight w:val="none"/>
              </w:rPr>
              <w:t>4</w:t>
            </w:r>
          </w:p>
        </w:tc>
        <w:tc>
          <w:tcPr>
            <w:tcW w:w="942" w:type="pct"/>
            <w:tcBorders>
              <w:bottom w:val="single" w:color="auto" w:sz="4" w:space="0"/>
            </w:tcBorders>
            <w:vAlign w:val="center"/>
          </w:tcPr>
          <w:p w14:paraId="662C4878">
            <w:pPr>
              <w:spacing w:after="50" w:line="360" w:lineRule="auto"/>
              <w:ind w:right="-1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中小企业证明文件（本项目不适用）</w:t>
            </w:r>
          </w:p>
        </w:tc>
        <w:tc>
          <w:tcPr>
            <w:tcW w:w="2603" w:type="pct"/>
            <w:tcBorders>
              <w:bottom w:val="single" w:color="auto" w:sz="4" w:space="0"/>
            </w:tcBorders>
          </w:tcPr>
          <w:p w14:paraId="4BE521FF">
            <w:pPr>
              <w:spacing w:after="50" w:line="360" w:lineRule="auto"/>
              <w:ind w:right="-10"/>
              <w:jc w:val="left"/>
              <w:rPr>
                <w:rFonts w:hint="eastAsia" w:ascii="宋体" w:hAnsi="宋体" w:eastAsia="宋体" w:cs="宋体"/>
                <w:color w:val="auto"/>
                <w:sz w:val="24"/>
                <w:szCs w:val="24"/>
                <w:highlight w:val="none"/>
              </w:rPr>
            </w:pPr>
            <w:r>
              <w:rPr>
                <w:rFonts w:hint="eastAsia" w:ascii="宋体" w:hAnsi="宋体" w:eastAsia="宋体"/>
                <w:color w:val="auto"/>
                <w:sz w:val="24"/>
                <w:szCs w:val="28"/>
                <w:highlight w:val="none"/>
              </w:rPr>
              <w:t>符合申请人的资格要求中落实政府采购政策需满足的资格要求：</w:t>
            </w:r>
          </w:p>
          <w:p w14:paraId="30561DE3">
            <w:pPr>
              <w:spacing w:after="50" w:line="360" w:lineRule="auto"/>
              <w:ind w:right="-1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（1）专门面向中小企业采购的，</w:t>
            </w:r>
            <w:r>
              <w:rPr>
                <w:rFonts w:hint="eastAsia" w:ascii="宋体" w:hAnsi="宋体" w:eastAsia="宋体" w:cs="宋体"/>
                <w:color w:val="auto"/>
                <w:sz w:val="24"/>
                <w:szCs w:val="24"/>
                <w:highlight w:val="none"/>
                <w:lang w:val="zh-CN"/>
              </w:rPr>
              <w:t>投标人</w:t>
            </w:r>
            <w:r>
              <w:rPr>
                <w:rFonts w:hint="eastAsia" w:ascii="宋体" w:hAnsi="宋体" w:eastAsia="宋体" w:cs="宋体"/>
                <w:color w:val="auto"/>
                <w:sz w:val="24"/>
                <w:szCs w:val="24"/>
                <w:highlight w:val="none"/>
              </w:rPr>
              <w:t>应提供《中小企业声明函》或《残疾人福利性单位声明函》或由省级以上监狱管理局、戒毒管理局（含新疆 生产建设兵团）出具的属于监狱企业的证明文件。</w:t>
            </w:r>
          </w:p>
          <w:p w14:paraId="72C556AB">
            <w:pPr>
              <w:spacing w:after="50" w:line="360" w:lineRule="auto"/>
              <w:ind w:right="-1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1074" w:type="pct"/>
            <w:tcBorders>
              <w:bottom w:val="single" w:color="auto" w:sz="4" w:space="0"/>
            </w:tcBorders>
            <w:vAlign w:val="center"/>
          </w:tcPr>
          <w:p w14:paraId="179AC9B9">
            <w:pPr>
              <w:spacing w:after="50" w:line="360" w:lineRule="auto"/>
              <w:ind w:right="-10"/>
              <w:jc w:val="center"/>
              <w:rPr>
                <w:rFonts w:hint="eastAsia" w:ascii="宋体" w:hAnsi="宋体" w:eastAsia="宋体" w:cs="宋体"/>
                <w:color w:val="auto"/>
                <w:sz w:val="24"/>
                <w:szCs w:val="24"/>
                <w:highlight w:val="none"/>
              </w:rPr>
            </w:pPr>
            <w:r>
              <w:rPr>
                <w:rFonts w:hint="eastAsia" w:ascii="宋体" w:hAnsi="宋体" w:eastAsia="宋体"/>
                <w:color w:val="auto"/>
                <w:sz w:val="24"/>
                <w:highlight w:val="none"/>
              </w:rPr>
              <w:t>详见第六章投标文件格式。</w:t>
            </w:r>
          </w:p>
        </w:tc>
      </w:tr>
      <w:tr w14:paraId="3C6AC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0" w:type="pct"/>
            <w:tcBorders>
              <w:bottom w:val="single" w:color="auto" w:sz="4" w:space="0"/>
            </w:tcBorders>
            <w:vAlign w:val="center"/>
          </w:tcPr>
          <w:p w14:paraId="3DD9A31C">
            <w:pPr>
              <w:adjustRightInd w:val="0"/>
              <w:snapToGrid w:val="0"/>
              <w:spacing w:line="360" w:lineRule="auto"/>
              <w:ind w:right="-10"/>
              <w:jc w:val="center"/>
              <w:rPr>
                <w:rFonts w:hint="eastAsia" w:ascii="宋体" w:hAnsi="宋体" w:eastAsia="宋体"/>
                <w:color w:val="auto"/>
                <w:sz w:val="24"/>
                <w:highlight w:val="none"/>
              </w:rPr>
            </w:pPr>
            <w:r>
              <w:rPr>
                <w:rFonts w:hint="eastAsia" w:ascii="宋体" w:hAnsi="宋体" w:eastAsia="宋体"/>
                <w:color w:val="auto"/>
                <w:sz w:val="24"/>
                <w:highlight w:val="none"/>
              </w:rPr>
              <w:t>5</w:t>
            </w:r>
          </w:p>
        </w:tc>
        <w:tc>
          <w:tcPr>
            <w:tcW w:w="942" w:type="pct"/>
            <w:tcBorders>
              <w:bottom w:val="single" w:color="auto" w:sz="4" w:space="0"/>
            </w:tcBorders>
          </w:tcPr>
          <w:p w14:paraId="61534375">
            <w:pPr>
              <w:spacing w:after="50" w:line="360" w:lineRule="auto"/>
              <w:ind w:right="-1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拟分包情况说明及分包意向协议（本项目不适用）</w:t>
            </w:r>
          </w:p>
        </w:tc>
        <w:tc>
          <w:tcPr>
            <w:tcW w:w="2603" w:type="pct"/>
            <w:tcBorders>
              <w:bottom w:val="single" w:color="auto" w:sz="4" w:space="0"/>
            </w:tcBorders>
            <w:vAlign w:val="center"/>
          </w:tcPr>
          <w:p w14:paraId="524FDAFC">
            <w:pPr>
              <w:spacing w:after="50" w:line="360" w:lineRule="auto"/>
              <w:ind w:right="-1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通过分包措施预留部分采购份额面向中小企业采购、且投标人因落实政府采购政策拟进行分包的。</w:t>
            </w:r>
          </w:p>
        </w:tc>
        <w:tc>
          <w:tcPr>
            <w:tcW w:w="1074" w:type="pct"/>
            <w:tcBorders>
              <w:bottom w:val="single" w:color="auto" w:sz="4" w:space="0"/>
            </w:tcBorders>
            <w:vAlign w:val="center"/>
          </w:tcPr>
          <w:p w14:paraId="5C90DC92">
            <w:pPr>
              <w:spacing w:after="50" w:line="360" w:lineRule="auto"/>
              <w:ind w:right="-10"/>
              <w:rPr>
                <w:rFonts w:hint="eastAsia" w:ascii="宋体" w:hAnsi="宋体" w:eastAsia="宋体" w:cs="宋体"/>
                <w:color w:val="auto"/>
                <w:sz w:val="24"/>
                <w:szCs w:val="24"/>
                <w:highlight w:val="none"/>
              </w:rPr>
            </w:pPr>
            <w:r>
              <w:rPr>
                <w:rFonts w:hint="eastAsia" w:ascii="宋体" w:hAnsi="宋体" w:eastAsia="宋体"/>
                <w:color w:val="auto"/>
                <w:sz w:val="24"/>
                <w:highlight w:val="none"/>
              </w:rPr>
              <w:t>详见第六章投标文件格式。</w:t>
            </w:r>
          </w:p>
        </w:tc>
      </w:tr>
      <w:tr w14:paraId="1F2AD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0" w:type="pct"/>
            <w:tcBorders>
              <w:bottom w:val="single" w:color="auto" w:sz="4" w:space="0"/>
            </w:tcBorders>
            <w:vAlign w:val="center"/>
          </w:tcPr>
          <w:p w14:paraId="66E9455C">
            <w:pPr>
              <w:adjustRightInd w:val="0"/>
              <w:snapToGrid w:val="0"/>
              <w:spacing w:line="360" w:lineRule="auto"/>
              <w:ind w:right="-10"/>
              <w:jc w:val="center"/>
              <w:rPr>
                <w:rFonts w:hint="eastAsia" w:ascii="宋体" w:hAnsi="宋体" w:eastAsia="宋体"/>
                <w:color w:val="auto"/>
                <w:sz w:val="24"/>
                <w:highlight w:val="none"/>
              </w:rPr>
            </w:pPr>
            <w:r>
              <w:rPr>
                <w:rFonts w:hint="eastAsia" w:ascii="宋体" w:hAnsi="宋体" w:eastAsia="宋体"/>
                <w:color w:val="auto"/>
                <w:sz w:val="24"/>
                <w:highlight w:val="none"/>
              </w:rPr>
              <w:t>6</w:t>
            </w:r>
          </w:p>
        </w:tc>
        <w:tc>
          <w:tcPr>
            <w:tcW w:w="942" w:type="pct"/>
            <w:tcBorders>
              <w:bottom w:val="single" w:color="auto" w:sz="4" w:space="0"/>
            </w:tcBorders>
            <w:vAlign w:val="center"/>
          </w:tcPr>
          <w:p w14:paraId="1E16C439">
            <w:pPr>
              <w:spacing w:after="50" w:line="360" w:lineRule="auto"/>
              <w:ind w:right="-10"/>
              <w:rPr>
                <w:rFonts w:hint="eastAsia" w:ascii="宋体" w:hAnsi="宋体" w:eastAsia="宋体" w:cs="宋体"/>
                <w:color w:val="auto"/>
                <w:sz w:val="24"/>
                <w:szCs w:val="24"/>
                <w:highlight w:val="none"/>
              </w:rPr>
            </w:pPr>
            <w:r>
              <w:rPr>
                <w:rFonts w:ascii="宋体" w:hAnsi="宋体" w:eastAsia="宋体" w:cs="宋体"/>
                <w:color w:val="auto"/>
                <w:spacing w:val="10"/>
                <w:sz w:val="24"/>
                <w:szCs w:val="24"/>
                <w:highlight w:val="none"/>
              </w:rPr>
              <w:t>其它落实政府采</w:t>
            </w:r>
            <w:r>
              <w:rPr>
                <w:rFonts w:ascii="宋体" w:hAnsi="宋体" w:eastAsia="宋体" w:cs="宋体"/>
                <w:color w:val="auto"/>
                <w:spacing w:val="11"/>
                <w:sz w:val="24"/>
                <w:szCs w:val="24"/>
                <w:highlight w:val="none"/>
              </w:rPr>
              <w:t>购政策的资格要</w:t>
            </w:r>
            <w:r>
              <w:rPr>
                <w:rFonts w:ascii="宋体" w:hAnsi="宋体" w:eastAsia="宋体" w:cs="宋体"/>
                <w:color w:val="auto"/>
                <w:sz w:val="24"/>
                <w:szCs w:val="24"/>
                <w:highlight w:val="none"/>
              </w:rPr>
              <w:t>求</w:t>
            </w:r>
          </w:p>
        </w:tc>
        <w:tc>
          <w:tcPr>
            <w:tcW w:w="2603" w:type="pct"/>
            <w:tcBorders>
              <w:bottom w:val="single" w:color="auto" w:sz="4" w:space="0"/>
            </w:tcBorders>
            <w:vAlign w:val="center"/>
          </w:tcPr>
          <w:p w14:paraId="6A728477">
            <w:pPr>
              <w:spacing w:after="50" w:line="360" w:lineRule="auto"/>
              <w:ind w:right="-10"/>
              <w:rPr>
                <w:rFonts w:hint="eastAsia" w:ascii="宋体" w:hAnsi="宋体" w:eastAsia="宋体" w:cs="宋体"/>
                <w:color w:val="auto"/>
                <w:sz w:val="24"/>
                <w:szCs w:val="24"/>
                <w:highlight w:val="none"/>
              </w:rPr>
            </w:pPr>
            <w:r>
              <w:rPr>
                <w:rFonts w:ascii="宋体" w:hAnsi="宋体" w:eastAsia="宋体" w:cs="宋体"/>
                <w:color w:val="auto"/>
                <w:spacing w:val="-2"/>
                <w:sz w:val="24"/>
                <w:szCs w:val="24"/>
                <w:highlight w:val="none"/>
              </w:rPr>
              <w:t>如有，见第一章《投标邀请》</w:t>
            </w:r>
          </w:p>
        </w:tc>
        <w:tc>
          <w:tcPr>
            <w:tcW w:w="1074" w:type="pct"/>
            <w:tcBorders>
              <w:bottom w:val="single" w:color="auto" w:sz="4" w:space="0"/>
            </w:tcBorders>
            <w:vAlign w:val="center"/>
          </w:tcPr>
          <w:p w14:paraId="4650A731">
            <w:pPr>
              <w:spacing w:after="50" w:line="360" w:lineRule="auto"/>
              <w:ind w:right="-10"/>
              <w:rPr>
                <w:rFonts w:hint="eastAsia" w:ascii="宋体" w:hAnsi="宋体" w:eastAsia="宋体"/>
                <w:color w:val="auto"/>
                <w:sz w:val="24"/>
                <w:highlight w:val="none"/>
              </w:rPr>
            </w:pPr>
            <w:r>
              <w:rPr>
                <w:rFonts w:hint="eastAsia" w:ascii="宋体" w:hAnsi="宋体" w:eastAsia="宋体" w:cs="宋体"/>
                <w:color w:val="auto"/>
                <w:sz w:val="24"/>
                <w:szCs w:val="24"/>
                <w:highlight w:val="none"/>
              </w:rPr>
              <w:t>提供材料扫描件或电子证照，应完整的体现出材料或电子证照全部内容。</w:t>
            </w:r>
          </w:p>
        </w:tc>
      </w:tr>
      <w:tr w14:paraId="1000D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0" w:type="pct"/>
            <w:tcBorders>
              <w:bottom w:val="single" w:color="auto" w:sz="4" w:space="0"/>
            </w:tcBorders>
            <w:vAlign w:val="center"/>
          </w:tcPr>
          <w:p w14:paraId="49179FFE">
            <w:pPr>
              <w:adjustRightInd w:val="0"/>
              <w:snapToGrid w:val="0"/>
              <w:spacing w:line="360" w:lineRule="auto"/>
              <w:ind w:right="-10"/>
              <w:jc w:val="center"/>
              <w:rPr>
                <w:rFonts w:hint="eastAsia" w:ascii="宋体" w:hAnsi="宋体" w:eastAsia="宋体"/>
                <w:color w:val="auto"/>
                <w:sz w:val="24"/>
                <w:highlight w:val="none"/>
              </w:rPr>
            </w:pPr>
            <w:r>
              <w:rPr>
                <w:rFonts w:hint="eastAsia" w:ascii="宋体" w:hAnsi="宋体" w:eastAsia="宋体"/>
                <w:color w:val="auto"/>
                <w:sz w:val="24"/>
                <w:highlight w:val="none"/>
              </w:rPr>
              <w:t>7</w:t>
            </w:r>
          </w:p>
        </w:tc>
        <w:tc>
          <w:tcPr>
            <w:tcW w:w="942" w:type="pct"/>
            <w:tcBorders>
              <w:bottom w:val="single" w:color="auto" w:sz="4" w:space="0"/>
            </w:tcBorders>
            <w:vAlign w:val="center"/>
          </w:tcPr>
          <w:p w14:paraId="2A61B61B">
            <w:pPr>
              <w:spacing w:after="50" w:line="360" w:lineRule="auto"/>
              <w:ind w:right="-10"/>
              <w:rPr>
                <w:rFonts w:hint="eastAsia" w:ascii="宋体" w:hAnsi="宋体" w:eastAsia="宋体" w:cs="宋体"/>
                <w:color w:val="auto"/>
                <w:spacing w:val="10"/>
                <w:sz w:val="24"/>
                <w:szCs w:val="24"/>
                <w:highlight w:val="none"/>
              </w:rPr>
            </w:pPr>
            <w:r>
              <w:rPr>
                <w:rFonts w:ascii="宋体" w:hAnsi="宋体" w:eastAsia="宋体" w:cs="宋体"/>
                <w:color w:val="auto"/>
                <w:spacing w:val="10"/>
                <w:sz w:val="24"/>
                <w:szCs w:val="24"/>
                <w:highlight w:val="none"/>
              </w:rPr>
              <w:t>本项目对于联合</w:t>
            </w:r>
            <w:r>
              <w:rPr>
                <w:rFonts w:ascii="宋体" w:hAnsi="宋体" w:eastAsia="宋体" w:cs="宋体"/>
                <w:color w:val="auto"/>
                <w:spacing w:val="-2"/>
                <w:sz w:val="24"/>
                <w:szCs w:val="24"/>
                <w:highlight w:val="none"/>
              </w:rPr>
              <w:t>体的要求</w:t>
            </w:r>
            <w:r>
              <w:rPr>
                <w:rFonts w:hint="eastAsia" w:ascii="宋体" w:hAnsi="宋体" w:eastAsia="宋体" w:cs="宋体"/>
                <w:color w:val="auto"/>
                <w:sz w:val="24"/>
                <w:szCs w:val="24"/>
                <w:highlight w:val="none"/>
              </w:rPr>
              <w:t>（本项目不适用）</w:t>
            </w:r>
          </w:p>
        </w:tc>
        <w:tc>
          <w:tcPr>
            <w:tcW w:w="2603" w:type="pct"/>
            <w:tcBorders>
              <w:bottom w:val="single" w:color="auto" w:sz="4" w:space="0"/>
            </w:tcBorders>
            <w:vAlign w:val="center"/>
          </w:tcPr>
          <w:p w14:paraId="0193F3B1">
            <w:pPr>
              <w:spacing w:after="50" w:line="360" w:lineRule="auto"/>
              <w:ind w:right="-10"/>
              <w:rPr>
                <w:rFonts w:hint="eastAsia" w:ascii="宋体" w:hAnsi="宋体" w:eastAsia="宋体" w:cs="宋体"/>
                <w:color w:val="auto"/>
                <w:spacing w:val="-2"/>
                <w:sz w:val="24"/>
                <w:szCs w:val="24"/>
                <w:highlight w:val="none"/>
              </w:rPr>
            </w:pPr>
            <w:r>
              <w:rPr>
                <w:rFonts w:hint="eastAsia" w:ascii="宋体" w:hAnsi="宋体" w:eastAsia="宋体" w:cs="宋体"/>
                <w:color w:val="auto"/>
                <w:spacing w:val="-2"/>
                <w:sz w:val="24"/>
                <w:szCs w:val="24"/>
                <w:highlight w:val="none"/>
              </w:rPr>
              <w:t>联合体投标的</w:t>
            </w:r>
            <w:r>
              <w:rPr>
                <w:rFonts w:hint="eastAsia" w:ascii="宋体" w:hAnsi="宋体" w:eastAsia="宋体" w:cs="宋体"/>
                <w:color w:val="auto"/>
                <w:spacing w:val="10"/>
                <w:sz w:val="24"/>
                <w:szCs w:val="24"/>
                <w:highlight w:val="none"/>
              </w:rPr>
              <w:t>详见</w:t>
            </w:r>
            <w:r>
              <w:rPr>
                <w:rFonts w:hint="eastAsia" w:ascii="宋体" w:hAnsi="宋体" w:eastAsia="宋体" w:cs="宋体"/>
                <w:color w:val="auto"/>
                <w:sz w:val="24"/>
                <w:szCs w:val="24"/>
                <w:highlight w:val="none"/>
                <w:lang w:val="zh-CN"/>
              </w:rPr>
              <w:t>投标人须知正文第</w:t>
            </w:r>
            <w:r>
              <w:rPr>
                <w:rFonts w:hint="eastAsia" w:ascii="宋体" w:hAnsi="宋体" w:eastAsia="宋体" w:cs="宋体"/>
                <w:color w:val="auto"/>
                <w:sz w:val="24"/>
                <w:szCs w:val="24"/>
                <w:highlight w:val="none"/>
              </w:rPr>
              <w:t>1.5，且</w:t>
            </w:r>
            <w:r>
              <w:rPr>
                <w:rFonts w:hint="eastAsia" w:ascii="宋体" w:hAnsi="宋体" w:eastAsia="宋体" w:cs="宋体"/>
                <w:color w:val="auto"/>
                <w:spacing w:val="10"/>
                <w:sz w:val="24"/>
                <w:szCs w:val="24"/>
                <w:highlight w:val="none"/>
              </w:rPr>
              <w:t>提</w:t>
            </w:r>
            <w:r>
              <w:rPr>
                <w:rFonts w:ascii="宋体" w:hAnsi="宋体" w:eastAsia="宋体" w:cs="宋体"/>
                <w:color w:val="auto"/>
                <w:spacing w:val="10"/>
                <w:sz w:val="24"/>
                <w:szCs w:val="24"/>
                <w:highlight w:val="none"/>
              </w:rPr>
              <w:t>供《联合协议》。</w:t>
            </w:r>
          </w:p>
        </w:tc>
        <w:tc>
          <w:tcPr>
            <w:tcW w:w="1074" w:type="pct"/>
            <w:tcBorders>
              <w:bottom w:val="single" w:color="auto" w:sz="4" w:space="0"/>
            </w:tcBorders>
            <w:vAlign w:val="center"/>
          </w:tcPr>
          <w:p w14:paraId="23F88486">
            <w:pPr>
              <w:spacing w:after="50" w:line="360" w:lineRule="auto"/>
              <w:ind w:right="-10"/>
              <w:rPr>
                <w:rFonts w:hint="eastAsia" w:ascii="宋体" w:hAnsi="宋体" w:eastAsia="宋体" w:cs="宋体"/>
                <w:color w:val="auto"/>
                <w:sz w:val="24"/>
                <w:szCs w:val="24"/>
                <w:highlight w:val="none"/>
              </w:rPr>
            </w:pPr>
            <w:r>
              <w:rPr>
                <w:rFonts w:ascii="宋体" w:hAnsi="宋体" w:eastAsia="宋体" w:cs="宋体"/>
                <w:color w:val="auto"/>
                <w:spacing w:val="10"/>
                <w:sz w:val="24"/>
                <w:szCs w:val="24"/>
                <w:highlight w:val="none"/>
              </w:rPr>
              <w:t>《联合协议》</w:t>
            </w:r>
            <w:r>
              <w:rPr>
                <w:rFonts w:hint="eastAsia" w:ascii="宋体" w:hAnsi="宋体" w:eastAsia="宋体"/>
                <w:color w:val="auto"/>
                <w:sz w:val="24"/>
                <w:highlight w:val="none"/>
              </w:rPr>
              <w:t>详见第六章投标文件格式。</w:t>
            </w:r>
          </w:p>
        </w:tc>
      </w:tr>
      <w:tr w14:paraId="169C6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0" w:type="pct"/>
            <w:vAlign w:val="center"/>
          </w:tcPr>
          <w:p w14:paraId="0C3E4E28">
            <w:pPr>
              <w:adjustRightInd w:val="0"/>
              <w:snapToGrid w:val="0"/>
              <w:spacing w:line="360" w:lineRule="auto"/>
              <w:ind w:right="-10"/>
              <w:jc w:val="center"/>
              <w:rPr>
                <w:rFonts w:hint="eastAsia" w:ascii="宋体" w:hAnsi="宋体" w:eastAsia="宋体"/>
                <w:color w:val="auto"/>
                <w:sz w:val="24"/>
                <w:highlight w:val="none"/>
              </w:rPr>
            </w:pPr>
            <w:r>
              <w:rPr>
                <w:rFonts w:hint="eastAsia" w:ascii="宋体" w:hAnsi="宋体" w:eastAsia="宋体"/>
                <w:color w:val="auto"/>
                <w:sz w:val="24"/>
                <w:highlight w:val="none"/>
              </w:rPr>
              <w:t>8</w:t>
            </w:r>
          </w:p>
        </w:tc>
        <w:tc>
          <w:tcPr>
            <w:tcW w:w="942" w:type="pct"/>
            <w:vAlign w:val="center"/>
          </w:tcPr>
          <w:p w14:paraId="4D491DC6">
            <w:pPr>
              <w:spacing w:after="50" w:line="360" w:lineRule="auto"/>
              <w:ind w:right="-10"/>
              <w:rPr>
                <w:rFonts w:hint="eastAsia" w:ascii="宋体" w:hAnsi="宋体" w:eastAsia="宋体" w:cs="宋体"/>
                <w:color w:val="auto"/>
                <w:spacing w:val="10"/>
                <w:sz w:val="24"/>
                <w:szCs w:val="24"/>
                <w:highlight w:val="none"/>
              </w:rPr>
            </w:pPr>
            <w:r>
              <w:rPr>
                <w:rFonts w:ascii="宋体" w:hAnsi="宋体" w:eastAsia="宋体" w:cs="宋体"/>
                <w:color w:val="auto"/>
                <w:spacing w:val="10"/>
                <w:sz w:val="24"/>
                <w:szCs w:val="24"/>
                <w:highlight w:val="none"/>
              </w:rPr>
              <w:t>本项目的特定资格要求</w:t>
            </w:r>
          </w:p>
        </w:tc>
        <w:tc>
          <w:tcPr>
            <w:tcW w:w="2603" w:type="pct"/>
            <w:vAlign w:val="center"/>
          </w:tcPr>
          <w:p w14:paraId="090810D5">
            <w:pPr>
              <w:spacing w:after="50" w:line="360" w:lineRule="auto"/>
              <w:ind w:right="-10"/>
              <w:rPr>
                <w:rFonts w:hint="eastAsia" w:ascii="宋体" w:hAnsi="宋体" w:eastAsia="宋体" w:cs="宋体"/>
                <w:color w:val="auto"/>
                <w:spacing w:val="10"/>
                <w:sz w:val="24"/>
                <w:szCs w:val="24"/>
                <w:highlight w:val="none"/>
              </w:rPr>
            </w:pPr>
            <w:r>
              <w:rPr>
                <w:rFonts w:ascii="宋体" w:hAnsi="宋体" w:eastAsia="宋体" w:cs="宋体"/>
                <w:color w:val="auto"/>
                <w:spacing w:val="10"/>
                <w:sz w:val="24"/>
                <w:szCs w:val="24"/>
                <w:highlight w:val="none"/>
              </w:rPr>
              <w:t>如有，见第一章《投标邀请》</w:t>
            </w:r>
          </w:p>
        </w:tc>
        <w:tc>
          <w:tcPr>
            <w:tcW w:w="1074" w:type="pct"/>
            <w:vAlign w:val="center"/>
          </w:tcPr>
          <w:p w14:paraId="157A79B9">
            <w:pPr>
              <w:spacing w:after="50" w:line="360" w:lineRule="auto"/>
              <w:ind w:right="-10"/>
              <w:rPr>
                <w:rFonts w:hint="eastAsia" w:ascii="宋体" w:hAnsi="宋体" w:eastAsia="宋体" w:cs="宋体"/>
                <w:color w:val="auto"/>
                <w:spacing w:val="10"/>
                <w:sz w:val="24"/>
                <w:szCs w:val="24"/>
                <w:highlight w:val="none"/>
              </w:rPr>
            </w:pPr>
            <w:r>
              <w:rPr>
                <w:rFonts w:hint="eastAsia" w:ascii="宋体" w:hAnsi="宋体" w:eastAsia="宋体" w:cs="宋体"/>
                <w:color w:val="auto"/>
                <w:sz w:val="24"/>
                <w:szCs w:val="24"/>
                <w:highlight w:val="none"/>
              </w:rPr>
              <w:t>提供材料扫描件或电子证照，应完整的体现出材料或电子证照全部内容。</w:t>
            </w:r>
          </w:p>
        </w:tc>
      </w:tr>
    </w:tbl>
    <w:p w14:paraId="09143FF9">
      <w:pPr>
        <w:spacing w:line="360" w:lineRule="auto"/>
        <w:ind w:firstLine="435"/>
        <w:rPr>
          <w:rFonts w:hint="eastAsia" w:asciiTheme="minorEastAsia" w:hAnsiTheme="minorEastAsia" w:eastAsiaTheme="minorEastAsia"/>
          <w:color w:val="auto"/>
          <w:sz w:val="24"/>
          <w:highlight w:val="none"/>
        </w:rPr>
      </w:pPr>
      <w:r>
        <w:rPr>
          <w:rFonts w:hint="eastAsia" w:ascii="宋体" w:hAnsi="宋体" w:eastAsia="宋体"/>
          <w:b/>
          <w:bCs/>
          <w:color w:val="auto"/>
          <w:sz w:val="24"/>
          <w:highlight w:val="none"/>
        </w:rPr>
        <w:t>资格审查指标通过标准：</w:t>
      </w:r>
      <w:r>
        <w:rPr>
          <w:rFonts w:hint="eastAsia" w:ascii="宋体" w:hAnsi="宋体" w:eastAsia="宋体"/>
          <w:color w:val="auto"/>
          <w:sz w:val="24"/>
          <w:highlight w:val="none"/>
        </w:rPr>
        <w:t>投标人必须通过资格审查表中的全部评审指标。</w:t>
      </w:r>
    </w:p>
    <w:p w14:paraId="68E6EB47">
      <w:pPr>
        <w:spacing w:line="360" w:lineRule="auto"/>
        <w:ind w:firstLine="437"/>
        <w:outlineLvl w:val="2"/>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2.2符合性审查</w:t>
      </w:r>
    </w:p>
    <w:p w14:paraId="7DDCE8FE">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评标委员会对通过资格审查的投标人的投标文件进行符合性审查，以确定其是否满足招标文件的实质性要求。符合性审查表如下：</w:t>
      </w:r>
    </w:p>
    <w:tbl>
      <w:tblPr>
        <w:tblStyle w:val="2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6"/>
        <w:gridCol w:w="2117"/>
        <w:gridCol w:w="3128"/>
        <w:gridCol w:w="2511"/>
      </w:tblGrid>
      <w:tr w14:paraId="1161A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5000" w:type="pct"/>
            <w:gridSpan w:val="4"/>
            <w:tcBorders>
              <w:bottom w:val="single" w:color="auto" w:sz="4" w:space="0"/>
            </w:tcBorders>
            <w:vAlign w:val="center"/>
          </w:tcPr>
          <w:p w14:paraId="1EE34F30">
            <w:pPr>
              <w:adjustRightInd w:val="0"/>
              <w:snapToGrid w:val="0"/>
              <w:spacing w:line="360" w:lineRule="auto"/>
              <w:ind w:right="-10"/>
              <w:jc w:val="center"/>
              <w:rPr>
                <w:rFonts w:hint="eastAsia" w:ascii="宋体" w:hAnsi="宋体" w:eastAsia="宋体"/>
                <w:b/>
                <w:bCs/>
                <w:color w:val="auto"/>
                <w:sz w:val="24"/>
                <w:highlight w:val="none"/>
              </w:rPr>
            </w:pPr>
            <w:r>
              <w:rPr>
                <w:rFonts w:hint="eastAsia" w:ascii="宋体" w:hAnsi="宋体" w:eastAsia="宋体"/>
                <w:b/>
                <w:bCs/>
                <w:color w:val="auto"/>
                <w:sz w:val="24"/>
                <w:highlight w:val="none"/>
              </w:rPr>
              <w:t>符合性审查表</w:t>
            </w:r>
          </w:p>
        </w:tc>
      </w:tr>
      <w:tr w14:paraId="41A4F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450" w:type="pct"/>
            <w:tcBorders>
              <w:bottom w:val="single" w:color="auto" w:sz="4" w:space="0"/>
            </w:tcBorders>
            <w:vAlign w:val="center"/>
          </w:tcPr>
          <w:p w14:paraId="6994AC17">
            <w:pPr>
              <w:adjustRightInd w:val="0"/>
              <w:snapToGrid w:val="0"/>
              <w:spacing w:line="360" w:lineRule="auto"/>
              <w:ind w:right="-10"/>
              <w:jc w:val="center"/>
              <w:rPr>
                <w:rFonts w:hint="eastAsia" w:ascii="宋体" w:hAnsi="宋体" w:eastAsia="宋体"/>
                <w:color w:val="auto"/>
                <w:sz w:val="24"/>
                <w:highlight w:val="none"/>
              </w:rPr>
            </w:pPr>
            <w:r>
              <w:rPr>
                <w:rFonts w:hint="eastAsia" w:ascii="宋体" w:hAnsi="宋体" w:eastAsia="宋体"/>
                <w:color w:val="auto"/>
                <w:sz w:val="24"/>
                <w:highlight w:val="none"/>
              </w:rPr>
              <w:t>序号</w:t>
            </w:r>
          </w:p>
        </w:tc>
        <w:tc>
          <w:tcPr>
            <w:tcW w:w="1242" w:type="pct"/>
            <w:tcBorders>
              <w:bottom w:val="single" w:color="auto" w:sz="4" w:space="0"/>
            </w:tcBorders>
            <w:vAlign w:val="center"/>
          </w:tcPr>
          <w:p w14:paraId="079AD6BC">
            <w:pPr>
              <w:pStyle w:val="35"/>
              <w:pBdr>
                <w:bottom w:val="none" w:color="auto" w:sz="0" w:space="0"/>
              </w:pBdr>
              <w:tabs>
                <w:tab w:val="clear" w:pos="4153"/>
                <w:tab w:val="clear" w:pos="8306"/>
              </w:tabs>
              <w:snapToGrid w:val="0"/>
              <w:spacing w:line="360" w:lineRule="auto"/>
              <w:ind w:right="-10"/>
              <w:textAlignment w:val="auto"/>
              <w:rPr>
                <w:rFonts w:hint="eastAsia" w:ascii="宋体" w:hAnsi="宋体" w:eastAsia="宋体"/>
                <w:color w:val="auto"/>
                <w:kern w:val="2"/>
                <w:highlight w:val="none"/>
              </w:rPr>
            </w:pPr>
            <w:r>
              <w:rPr>
                <w:rFonts w:hint="eastAsia" w:ascii="宋体" w:hAnsi="宋体" w:eastAsia="宋体"/>
                <w:color w:val="auto"/>
                <w:kern w:val="2"/>
                <w:highlight w:val="none"/>
              </w:rPr>
              <w:t>审查指标</w:t>
            </w:r>
          </w:p>
        </w:tc>
        <w:tc>
          <w:tcPr>
            <w:tcW w:w="1835" w:type="pct"/>
            <w:tcBorders>
              <w:bottom w:val="single" w:color="auto" w:sz="4" w:space="0"/>
            </w:tcBorders>
            <w:vAlign w:val="center"/>
          </w:tcPr>
          <w:p w14:paraId="5A2C9EBF">
            <w:pPr>
              <w:adjustRightInd w:val="0"/>
              <w:snapToGrid w:val="0"/>
              <w:spacing w:line="360" w:lineRule="auto"/>
              <w:ind w:right="-10"/>
              <w:jc w:val="center"/>
              <w:rPr>
                <w:rFonts w:hint="eastAsia" w:ascii="宋体" w:hAnsi="宋体" w:eastAsia="宋体"/>
                <w:color w:val="auto"/>
                <w:sz w:val="24"/>
                <w:highlight w:val="none"/>
              </w:rPr>
            </w:pPr>
            <w:r>
              <w:rPr>
                <w:rFonts w:hint="eastAsia" w:ascii="宋体" w:hAnsi="宋体" w:eastAsia="宋体"/>
                <w:color w:val="auto"/>
                <w:sz w:val="24"/>
                <w:highlight w:val="none"/>
              </w:rPr>
              <w:t>审查标准</w:t>
            </w:r>
          </w:p>
        </w:tc>
        <w:tc>
          <w:tcPr>
            <w:tcW w:w="1472" w:type="pct"/>
            <w:tcBorders>
              <w:bottom w:val="single" w:color="auto" w:sz="4" w:space="0"/>
            </w:tcBorders>
            <w:vAlign w:val="center"/>
          </w:tcPr>
          <w:p w14:paraId="7CD2E4EB">
            <w:pPr>
              <w:adjustRightInd w:val="0"/>
              <w:snapToGrid w:val="0"/>
              <w:spacing w:line="360" w:lineRule="auto"/>
              <w:ind w:right="-10"/>
              <w:jc w:val="center"/>
              <w:rPr>
                <w:rFonts w:hint="eastAsia" w:ascii="宋体" w:hAnsi="宋体" w:eastAsia="宋体"/>
                <w:color w:val="auto"/>
                <w:sz w:val="24"/>
                <w:highlight w:val="none"/>
              </w:rPr>
            </w:pPr>
            <w:r>
              <w:rPr>
                <w:rFonts w:hint="eastAsia" w:ascii="宋体" w:hAnsi="宋体" w:eastAsia="宋体"/>
                <w:color w:val="auto"/>
                <w:sz w:val="24"/>
                <w:highlight w:val="none"/>
              </w:rPr>
              <w:t>格式要求</w:t>
            </w:r>
          </w:p>
        </w:tc>
      </w:tr>
      <w:tr w14:paraId="56E38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0" w:type="pct"/>
            <w:vAlign w:val="center"/>
          </w:tcPr>
          <w:p w14:paraId="71611340">
            <w:pPr>
              <w:adjustRightInd w:val="0"/>
              <w:snapToGrid w:val="0"/>
              <w:spacing w:line="360" w:lineRule="auto"/>
              <w:ind w:right="-10"/>
              <w:jc w:val="center"/>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p>
        </w:tc>
        <w:tc>
          <w:tcPr>
            <w:tcW w:w="1242" w:type="pct"/>
            <w:vAlign w:val="center"/>
          </w:tcPr>
          <w:p w14:paraId="342C76E3">
            <w:pPr>
              <w:spacing w:after="50" w:line="360" w:lineRule="auto"/>
              <w:ind w:right="-10"/>
              <w:jc w:val="center"/>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highlight w:val="none"/>
              </w:rPr>
              <w:t>开标一览表</w:t>
            </w:r>
          </w:p>
        </w:tc>
        <w:tc>
          <w:tcPr>
            <w:tcW w:w="1835" w:type="pct"/>
            <w:vAlign w:val="center"/>
          </w:tcPr>
          <w:p w14:paraId="28D9A707">
            <w:pPr>
              <w:spacing w:after="50" w:line="360" w:lineRule="auto"/>
              <w:ind w:right="-10"/>
              <w:jc w:val="center"/>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格式、填写要求符合招标文件规定并加盖投标人电子签章</w:t>
            </w:r>
          </w:p>
        </w:tc>
        <w:tc>
          <w:tcPr>
            <w:tcW w:w="1472" w:type="pct"/>
            <w:vAlign w:val="center"/>
          </w:tcPr>
          <w:p w14:paraId="40E972BD">
            <w:pPr>
              <w:adjustRightInd w:val="0"/>
              <w:snapToGrid w:val="0"/>
              <w:spacing w:line="360" w:lineRule="auto"/>
              <w:ind w:right="-10"/>
              <w:jc w:val="center"/>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详见第六章投标文件格式。</w:t>
            </w:r>
          </w:p>
        </w:tc>
      </w:tr>
      <w:tr w14:paraId="32CB4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0" w:type="pct"/>
            <w:vAlign w:val="center"/>
          </w:tcPr>
          <w:p w14:paraId="712BDF89">
            <w:pPr>
              <w:adjustRightInd w:val="0"/>
              <w:snapToGrid w:val="0"/>
              <w:spacing w:line="360" w:lineRule="auto"/>
              <w:ind w:right="-10"/>
              <w:jc w:val="center"/>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p>
        </w:tc>
        <w:tc>
          <w:tcPr>
            <w:tcW w:w="1242" w:type="pct"/>
            <w:vAlign w:val="center"/>
          </w:tcPr>
          <w:p w14:paraId="3B2B7F95">
            <w:pPr>
              <w:spacing w:after="50" w:line="360" w:lineRule="auto"/>
              <w:ind w:right="-10"/>
              <w:jc w:val="center"/>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投标函</w:t>
            </w:r>
          </w:p>
        </w:tc>
        <w:tc>
          <w:tcPr>
            <w:tcW w:w="1835" w:type="pct"/>
            <w:vAlign w:val="center"/>
          </w:tcPr>
          <w:p w14:paraId="0ECA57DD">
            <w:pPr>
              <w:spacing w:after="50" w:line="360" w:lineRule="auto"/>
              <w:ind w:right="-10"/>
              <w:jc w:val="center"/>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格式、填写要求符合招标文件规定并加盖投标人电子签章</w:t>
            </w:r>
          </w:p>
        </w:tc>
        <w:tc>
          <w:tcPr>
            <w:tcW w:w="1472" w:type="pct"/>
            <w:vAlign w:val="center"/>
          </w:tcPr>
          <w:p w14:paraId="03997FDF">
            <w:pPr>
              <w:adjustRightInd w:val="0"/>
              <w:snapToGrid w:val="0"/>
              <w:spacing w:line="360" w:lineRule="auto"/>
              <w:ind w:right="-10"/>
              <w:jc w:val="center"/>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详见第六章投标文件格式。</w:t>
            </w:r>
          </w:p>
        </w:tc>
      </w:tr>
      <w:tr w14:paraId="2D277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0" w:type="pct"/>
            <w:vAlign w:val="center"/>
          </w:tcPr>
          <w:p w14:paraId="3B376319">
            <w:pPr>
              <w:adjustRightInd w:val="0"/>
              <w:snapToGrid w:val="0"/>
              <w:spacing w:line="360" w:lineRule="auto"/>
              <w:ind w:right="-10"/>
              <w:jc w:val="center"/>
              <w:rPr>
                <w:rFonts w:hint="eastAsia"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3</w:t>
            </w:r>
          </w:p>
        </w:tc>
        <w:tc>
          <w:tcPr>
            <w:tcW w:w="1242" w:type="pct"/>
            <w:vAlign w:val="center"/>
          </w:tcPr>
          <w:p w14:paraId="56E1971D">
            <w:pPr>
              <w:spacing w:after="50" w:line="360" w:lineRule="auto"/>
              <w:ind w:right="-10"/>
              <w:jc w:val="center"/>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授权书</w:t>
            </w:r>
          </w:p>
        </w:tc>
        <w:tc>
          <w:tcPr>
            <w:tcW w:w="1835" w:type="pct"/>
            <w:vAlign w:val="center"/>
          </w:tcPr>
          <w:p w14:paraId="276F15FE">
            <w:pPr>
              <w:spacing w:after="50" w:line="360" w:lineRule="auto"/>
              <w:ind w:right="-10"/>
              <w:jc w:val="center"/>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格式、填写要求符合招标文件规定并加盖投标人电子签章</w:t>
            </w:r>
          </w:p>
        </w:tc>
        <w:tc>
          <w:tcPr>
            <w:tcW w:w="1472" w:type="pct"/>
            <w:vAlign w:val="center"/>
          </w:tcPr>
          <w:p w14:paraId="6BAB7EAC">
            <w:pPr>
              <w:adjustRightInd w:val="0"/>
              <w:snapToGrid w:val="0"/>
              <w:spacing w:line="360" w:lineRule="auto"/>
              <w:ind w:right="-10"/>
              <w:jc w:val="center"/>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法定代表人参加投标的无需此件，提供身份证明即可。详见第六章投标文件格式。</w:t>
            </w:r>
          </w:p>
        </w:tc>
      </w:tr>
      <w:tr w14:paraId="23379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0" w:type="pct"/>
            <w:vAlign w:val="center"/>
          </w:tcPr>
          <w:p w14:paraId="5F3385CB">
            <w:pPr>
              <w:adjustRightInd w:val="0"/>
              <w:snapToGrid w:val="0"/>
              <w:spacing w:line="360" w:lineRule="auto"/>
              <w:ind w:right="-10"/>
              <w:jc w:val="center"/>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w:t>
            </w:r>
          </w:p>
        </w:tc>
        <w:tc>
          <w:tcPr>
            <w:tcW w:w="1242" w:type="pct"/>
            <w:vAlign w:val="center"/>
          </w:tcPr>
          <w:p w14:paraId="56A09982">
            <w:pPr>
              <w:spacing w:after="50" w:line="360" w:lineRule="auto"/>
              <w:ind w:right="-10"/>
              <w:jc w:val="center"/>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投标报价</w:t>
            </w:r>
          </w:p>
        </w:tc>
        <w:tc>
          <w:tcPr>
            <w:tcW w:w="1835" w:type="pct"/>
            <w:vAlign w:val="center"/>
          </w:tcPr>
          <w:p w14:paraId="6A2DE51E">
            <w:pPr>
              <w:spacing w:after="50" w:line="360" w:lineRule="auto"/>
              <w:ind w:right="-10"/>
              <w:jc w:val="center"/>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符合</w:t>
            </w:r>
            <w:r>
              <w:rPr>
                <w:rFonts w:hint="eastAsia" w:asciiTheme="minorEastAsia" w:hAnsiTheme="minorEastAsia" w:eastAsiaTheme="minorEastAsia"/>
                <w:color w:val="auto"/>
                <w:sz w:val="24"/>
                <w:highlight w:val="none"/>
              </w:rPr>
              <w:t>招标文件投标人须知正文第9条要求</w:t>
            </w:r>
          </w:p>
        </w:tc>
        <w:tc>
          <w:tcPr>
            <w:tcW w:w="1472" w:type="pct"/>
            <w:vAlign w:val="center"/>
          </w:tcPr>
          <w:p w14:paraId="7DBBA861">
            <w:pPr>
              <w:adjustRightInd w:val="0"/>
              <w:snapToGrid w:val="0"/>
              <w:spacing w:line="360" w:lineRule="auto"/>
              <w:ind w:right="-10"/>
              <w:jc w:val="center"/>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详见第六章投标文件格式。</w:t>
            </w:r>
          </w:p>
        </w:tc>
      </w:tr>
      <w:tr w14:paraId="2908C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0" w:type="pct"/>
            <w:vAlign w:val="center"/>
          </w:tcPr>
          <w:p w14:paraId="264668A0">
            <w:pPr>
              <w:adjustRightInd w:val="0"/>
              <w:snapToGrid w:val="0"/>
              <w:spacing w:line="360" w:lineRule="auto"/>
              <w:ind w:right="-10"/>
              <w:jc w:val="center"/>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w:t>
            </w:r>
          </w:p>
        </w:tc>
        <w:tc>
          <w:tcPr>
            <w:tcW w:w="1242" w:type="pct"/>
            <w:vAlign w:val="center"/>
          </w:tcPr>
          <w:p w14:paraId="76289717">
            <w:pPr>
              <w:spacing w:after="50" w:line="360" w:lineRule="auto"/>
              <w:ind w:right="-10"/>
              <w:jc w:val="center"/>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商务响应情况</w:t>
            </w:r>
          </w:p>
        </w:tc>
        <w:tc>
          <w:tcPr>
            <w:tcW w:w="3430" w:type="dxa"/>
            <w:vAlign w:val="center"/>
          </w:tcPr>
          <w:p w14:paraId="0E394CD0">
            <w:pPr>
              <w:spacing w:after="50" w:line="360" w:lineRule="auto"/>
              <w:ind w:right="-10"/>
              <w:jc w:val="center"/>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符合招标文件采购需求中对付款方式、供货及安装期限、供货及安装地点、免费质保期等实质性要求</w:t>
            </w:r>
          </w:p>
        </w:tc>
        <w:tc>
          <w:tcPr>
            <w:tcW w:w="1472" w:type="pct"/>
            <w:vAlign w:val="center"/>
          </w:tcPr>
          <w:p w14:paraId="474479FD">
            <w:pPr>
              <w:adjustRightInd w:val="0"/>
              <w:snapToGrid w:val="0"/>
              <w:spacing w:line="360" w:lineRule="auto"/>
              <w:ind w:right="-10"/>
              <w:jc w:val="center"/>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详见第六章投标文件格式。</w:t>
            </w:r>
          </w:p>
        </w:tc>
      </w:tr>
      <w:tr w14:paraId="6E8D8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0" w:type="pct"/>
            <w:vAlign w:val="center"/>
          </w:tcPr>
          <w:p w14:paraId="500BBF41">
            <w:pPr>
              <w:adjustRightInd w:val="0"/>
              <w:snapToGrid w:val="0"/>
              <w:spacing w:line="360" w:lineRule="auto"/>
              <w:ind w:right="-10"/>
              <w:jc w:val="center"/>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w:t>
            </w:r>
          </w:p>
        </w:tc>
        <w:tc>
          <w:tcPr>
            <w:tcW w:w="1242" w:type="pct"/>
            <w:vAlign w:val="center"/>
          </w:tcPr>
          <w:p w14:paraId="6DB50FF4">
            <w:pPr>
              <w:spacing w:after="50" w:line="360" w:lineRule="auto"/>
              <w:ind w:right="-10"/>
              <w:jc w:val="center"/>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技术响应情况</w:t>
            </w:r>
          </w:p>
        </w:tc>
        <w:tc>
          <w:tcPr>
            <w:tcW w:w="3430" w:type="dxa"/>
            <w:vAlign w:val="center"/>
          </w:tcPr>
          <w:p w14:paraId="563200B2">
            <w:pPr>
              <w:spacing w:after="50" w:line="360" w:lineRule="auto"/>
              <w:ind w:right="-10"/>
              <w:jc w:val="center"/>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符合招标文件采购需求中货物技术参数等实质性要求</w:t>
            </w:r>
          </w:p>
        </w:tc>
        <w:tc>
          <w:tcPr>
            <w:tcW w:w="1472" w:type="pct"/>
            <w:vAlign w:val="center"/>
          </w:tcPr>
          <w:p w14:paraId="57518CA5">
            <w:pPr>
              <w:adjustRightInd w:val="0"/>
              <w:snapToGrid w:val="0"/>
              <w:spacing w:line="360" w:lineRule="auto"/>
              <w:ind w:right="-10"/>
              <w:jc w:val="center"/>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详见第六章投标文件格式。</w:t>
            </w:r>
          </w:p>
        </w:tc>
      </w:tr>
      <w:tr w14:paraId="0D08D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0" w:type="pct"/>
            <w:vAlign w:val="center"/>
          </w:tcPr>
          <w:p w14:paraId="46F15031">
            <w:pPr>
              <w:adjustRightInd w:val="0"/>
              <w:snapToGrid w:val="0"/>
              <w:spacing w:line="360" w:lineRule="auto"/>
              <w:ind w:right="-10"/>
              <w:jc w:val="center"/>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7</w:t>
            </w:r>
          </w:p>
        </w:tc>
        <w:tc>
          <w:tcPr>
            <w:tcW w:w="1242" w:type="pct"/>
            <w:vAlign w:val="center"/>
          </w:tcPr>
          <w:p w14:paraId="329E54D3">
            <w:pPr>
              <w:spacing w:after="50" w:line="360" w:lineRule="auto"/>
              <w:ind w:right="-10"/>
              <w:jc w:val="center"/>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其他要求</w:t>
            </w:r>
          </w:p>
        </w:tc>
        <w:tc>
          <w:tcPr>
            <w:tcW w:w="3430" w:type="dxa"/>
            <w:vAlign w:val="center"/>
          </w:tcPr>
          <w:p w14:paraId="7F28E124">
            <w:pPr>
              <w:spacing w:after="50" w:line="360" w:lineRule="auto"/>
              <w:ind w:right="-10"/>
              <w:jc w:val="center"/>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符合法律、行政法规规定的其他条件或招标文件列明的其他实质性要求</w:t>
            </w:r>
          </w:p>
        </w:tc>
        <w:tc>
          <w:tcPr>
            <w:tcW w:w="1472" w:type="pct"/>
            <w:vAlign w:val="center"/>
          </w:tcPr>
          <w:p w14:paraId="5E520EA6">
            <w:pPr>
              <w:adjustRightInd w:val="0"/>
              <w:snapToGrid w:val="0"/>
              <w:spacing w:line="360" w:lineRule="auto"/>
              <w:ind w:right="-10"/>
              <w:jc w:val="center"/>
              <w:rPr>
                <w:rFonts w:hint="eastAsia" w:asciiTheme="minorEastAsia" w:hAnsiTheme="minorEastAsia" w:eastAsiaTheme="minorEastAsia"/>
                <w:color w:val="auto"/>
                <w:sz w:val="24"/>
                <w:highlight w:val="none"/>
              </w:rPr>
            </w:pPr>
          </w:p>
        </w:tc>
      </w:tr>
    </w:tbl>
    <w:p w14:paraId="274B1FED">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b/>
          <w:bCs/>
          <w:color w:val="auto"/>
          <w:sz w:val="24"/>
          <w:highlight w:val="none"/>
        </w:rPr>
        <w:t>符合性审查指标通过标准：</w:t>
      </w:r>
      <w:r>
        <w:rPr>
          <w:rFonts w:hint="eastAsia" w:asciiTheme="minorEastAsia" w:hAnsiTheme="minorEastAsia" w:eastAsiaTheme="minorEastAsia"/>
          <w:color w:val="auto"/>
          <w:sz w:val="24"/>
          <w:highlight w:val="none"/>
        </w:rPr>
        <w:t>投标人必须通过符合性审查表中的全部评审指标。</w:t>
      </w:r>
    </w:p>
    <w:p w14:paraId="08147BC7">
      <w:pPr>
        <w:spacing w:line="360" w:lineRule="auto"/>
        <w:ind w:firstLine="435"/>
        <w:outlineLvl w:val="2"/>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2.3异常低价投标审查</w:t>
      </w:r>
    </w:p>
    <w:tbl>
      <w:tblPr>
        <w:tblStyle w:val="25"/>
        <w:tblW w:w="525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5"/>
        <w:gridCol w:w="1450"/>
        <w:gridCol w:w="4438"/>
        <w:gridCol w:w="2260"/>
      </w:tblGrid>
      <w:tr w14:paraId="037AE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8954" w:type="dxa"/>
            <w:gridSpan w:val="4"/>
            <w:tcBorders>
              <w:bottom w:val="single" w:color="auto" w:sz="4" w:space="0"/>
            </w:tcBorders>
            <w:vAlign w:val="center"/>
          </w:tcPr>
          <w:p w14:paraId="14DD2902">
            <w:pPr>
              <w:adjustRightInd w:val="0"/>
              <w:snapToGrid w:val="0"/>
              <w:spacing w:line="360" w:lineRule="auto"/>
              <w:ind w:right="-10"/>
              <w:jc w:val="center"/>
              <w:rPr>
                <w:rFonts w:hint="eastAsia" w:ascii="宋体" w:hAnsi="宋体" w:eastAsia="宋体"/>
                <w:color w:val="auto"/>
                <w:sz w:val="24"/>
                <w:highlight w:val="none"/>
              </w:rPr>
            </w:pPr>
            <w:r>
              <w:rPr>
                <w:rFonts w:hint="eastAsia" w:ascii="宋体" w:hAnsi="宋体" w:eastAsia="宋体" w:cs="Times New Roman"/>
                <w:b/>
                <w:bCs/>
                <w:color w:val="auto"/>
                <w:sz w:val="24"/>
                <w:highlight w:val="none"/>
              </w:rPr>
              <w:t>异常低价投标审查表</w:t>
            </w:r>
          </w:p>
        </w:tc>
      </w:tr>
      <w:tr w14:paraId="5AEC6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5" w:type="dxa"/>
            <w:tcBorders>
              <w:bottom w:val="single" w:color="auto" w:sz="4" w:space="0"/>
            </w:tcBorders>
            <w:vAlign w:val="center"/>
          </w:tcPr>
          <w:p w14:paraId="1E447BB8">
            <w:pPr>
              <w:spacing w:line="360" w:lineRule="auto"/>
              <w:jc w:val="center"/>
              <w:rPr>
                <w:rFonts w:hint="eastAsia" w:ascii="宋体" w:hAnsi="宋体" w:eastAsia="宋体"/>
                <w:color w:val="auto"/>
                <w:sz w:val="24"/>
                <w:highlight w:val="none"/>
              </w:rPr>
            </w:pPr>
            <w:r>
              <w:rPr>
                <w:rFonts w:hint="eastAsia" w:ascii="宋体" w:hAnsi="宋体" w:eastAsia="宋体" w:cs="Times New Roman"/>
                <w:color w:val="auto"/>
                <w:sz w:val="24"/>
                <w:highlight w:val="none"/>
              </w:rPr>
              <w:t>序号</w:t>
            </w:r>
          </w:p>
        </w:tc>
        <w:tc>
          <w:tcPr>
            <w:tcW w:w="1450" w:type="dxa"/>
            <w:tcBorders>
              <w:bottom w:val="single" w:color="auto" w:sz="4" w:space="0"/>
            </w:tcBorders>
            <w:vAlign w:val="center"/>
          </w:tcPr>
          <w:p w14:paraId="444AFB9D">
            <w:pPr>
              <w:spacing w:line="360" w:lineRule="auto"/>
              <w:ind w:firstLine="240" w:firstLineChars="100"/>
              <w:jc w:val="center"/>
              <w:rPr>
                <w:rFonts w:hint="eastAsia" w:ascii="宋体" w:hAnsi="宋体" w:eastAsia="宋体"/>
                <w:color w:val="auto"/>
                <w:szCs w:val="24"/>
                <w:highlight w:val="none"/>
              </w:rPr>
            </w:pPr>
            <w:r>
              <w:rPr>
                <w:rFonts w:hint="eastAsia" w:ascii="宋体" w:hAnsi="宋体" w:eastAsia="宋体" w:cs="Times New Roman"/>
                <w:color w:val="auto"/>
                <w:sz w:val="24"/>
                <w:highlight w:val="none"/>
              </w:rPr>
              <w:t>评审指标</w:t>
            </w:r>
          </w:p>
        </w:tc>
        <w:tc>
          <w:tcPr>
            <w:tcW w:w="4439" w:type="dxa"/>
            <w:tcBorders>
              <w:bottom w:val="single" w:color="auto" w:sz="4" w:space="0"/>
            </w:tcBorders>
            <w:vAlign w:val="center"/>
          </w:tcPr>
          <w:p w14:paraId="0BA3919A">
            <w:pPr>
              <w:spacing w:line="360" w:lineRule="auto"/>
              <w:ind w:firstLine="240" w:firstLineChars="100"/>
              <w:jc w:val="center"/>
              <w:rPr>
                <w:rFonts w:hint="eastAsia" w:ascii="宋体" w:hAnsi="宋体" w:eastAsia="宋体"/>
                <w:color w:val="auto"/>
                <w:sz w:val="24"/>
                <w:highlight w:val="none"/>
              </w:rPr>
            </w:pPr>
            <w:r>
              <w:rPr>
                <w:rFonts w:hint="eastAsia" w:ascii="宋体" w:hAnsi="宋体" w:eastAsia="宋体" w:cs="Times New Roman"/>
                <w:color w:val="auto"/>
                <w:sz w:val="24"/>
                <w:highlight w:val="none"/>
              </w:rPr>
              <w:t>评审标准</w:t>
            </w:r>
          </w:p>
        </w:tc>
        <w:tc>
          <w:tcPr>
            <w:tcW w:w="2260" w:type="dxa"/>
            <w:tcBorders>
              <w:bottom w:val="single" w:color="auto" w:sz="4" w:space="0"/>
            </w:tcBorders>
            <w:vAlign w:val="center"/>
          </w:tcPr>
          <w:p w14:paraId="1D157313">
            <w:pPr>
              <w:spacing w:line="360" w:lineRule="auto"/>
              <w:jc w:val="center"/>
              <w:rPr>
                <w:rFonts w:hint="eastAsia" w:ascii="宋体" w:hAnsi="宋体" w:eastAsia="宋体"/>
                <w:color w:val="auto"/>
                <w:sz w:val="24"/>
                <w:highlight w:val="none"/>
              </w:rPr>
            </w:pPr>
            <w:r>
              <w:rPr>
                <w:rFonts w:hint="eastAsia" w:ascii="宋体" w:hAnsi="宋体" w:eastAsia="宋体" w:cs="Times New Roman"/>
                <w:color w:val="auto"/>
                <w:sz w:val="24"/>
                <w:highlight w:val="none"/>
              </w:rPr>
              <w:t>格式及材料要求</w:t>
            </w:r>
          </w:p>
        </w:tc>
      </w:tr>
      <w:tr w14:paraId="1F74E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805" w:type="dxa"/>
            <w:tcBorders>
              <w:bottom w:val="single" w:color="auto" w:sz="4" w:space="0"/>
            </w:tcBorders>
            <w:vAlign w:val="center"/>
          </w:tcPr>
          <w:p w14:paraId="3A413FA4">
            <w:pPr>
              <w:spacing w:line="360" w:lineRule="auto"/>
              <w:ind w:firstLine="240" w:firstLineChars="100"/>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p>
        </w:tc>
        <w:tc>
          <w:tcPr>
            <w:tcW w:w="1450" w:type="dxa"/>
            <w:tcBorders>
              <w:bottom w:val="single" w:color="auto" w:sz="4" w:space="0"/>
            </w:tcBorders>
            <w:vAlign w:val="center"/>
          </w:tcPr>
          <w:p w14:paraId="74333E0F">
            <w:pPr>
              <w:spacing w:line="360" w:lineRule="auto"/>
              <w:jc w:val="center"/>
              <w:rPr>
                <w:rFonts w:hint="eastAsia" w:ascii="宋体" w:hAnsi="宋体" w:eastAsia="宋体" w:cs="宋体"/>
                <w:color w:val="auto"/>
                <w:sz w:val="24"/>
                <w:szCs w:val="28"/>
                <w:highlight w:val="none"/>
              </w:rPr>
            </w:pPr>
            <w:r>
              <w:rPr>
                <w:rFonts w:hint="eastAsia" w:ascii="宋体" w:hAnsi="宋体" w:eastAsia="宋体" w:cs="宋体"/>
                <w:color w:val="auto"/>
                <w:sz w:val="24"/>
                <w:highlight w:val="none"/>
              </w:rPr>
              <w:t>异常低价投标审查</w:t>
            </w:r>
          </w:p>
        </w:tc>
        <w:tc>
          <w:tcPr>
            <w:tcW w:w="4439" w:type="dxa"/>
            <w:tcBorders>
              <w:bottom w:val="single" w:color="auto" w:sz="4" w:space="0"/>
            </w:tcBorders>
            <w:vAlign w:val="center"/>
          </w:tcPr>
          <w:p w14:paraId="6CE0AA3A">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（1）投标报价＜全部通过符合性审查投标人投标报价平均值×</w:t>
            </w:r>
            <w:r>
              <w:rPr>
                <w:rFonts w:hint="eastAsia" w:ascii="宋体" w:hAnsi="宋体" w:eastAsia="宋体" w:cs="宋体"/>
                <w:color w:val="auto"/>
                <w:sz w:val="24"/>
                <w:szCs w:val="24"/>
                <w:highlight w:val="none"/>
                <w:u w:val="single"/>
              </w:rPr>
              <w:t>50%</w:t>
            </w:r>
            <w:r>
              <w:rPr>
                <w:rFonts w:hint="eastAsia" w:ascii="宋体" w:hAnsi="宋体" w:eastAsia="宋体" w:cs="宋体"/>
                <w:color w:val="auto"/>
                <w:sz w:val="24"/>
                <w:szCs w:val="24"/>
                <w:highlight w:val="none"/>
              </w:rPr>
              <w:t>；</w:t>
            </w:r>
          </w:p>
          <w:p w14:paraId="01EF58C1">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（2）投标报价＜通过符合性审查的次低报价投标人投标报价×</w:t>
            </w:r>
            <w:r>
              <w:rPr>
                <w:rFonts w:hint="eastAsia" w:ascii="宋体" w:hAnsi="宋体" w:eastAsia="宋体" w:cs="宋体"/>
                <w:color w:val="auto"/>
                <w:sz w:val="24"/>
                <w:szCs w:val="24"/>
                <w:highlight w:val="none"/>
                <w:u w:val="single"/>
              </w:rPr>
              <w:t>50%</w:t>
            </w:r>
            <w:r>
              <w:rPr>
                <w:rFonts w:hint="eastAsia" w:ascii="宋体" w:hAnsi="宋体" w:eastAsia="宋体" w:cs="宋体"/>
                <w:color w:val="auto"/>
                <w:sz w:val="24"/>
                <w:szCs w:val="24"/>
                <w:highlight w:val="none"/>
              </w:rPr>
              <w:t>；</w:t>
            </w:r>
          </w:p>
          <w:p w14:paraId="562C83F5">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（3）投标报价＜采购项目最高限价（</w:t>
            </w:r>
            <w:r>
              <w:rPr>
                <w:rFonts w:hint="eastAsia" w:ascii="宋体" w:hAnsi="宋体" w:eastAsia="宋体" w:cs="宋体"/>
                <w:color w:val="auto"/>
                <w:sz w:val="24"/>
                <w:highlight w:val="none"/>
              </w:rPr>
              <w:t>如采购项目未设定最高限价的，以采购项目预算金额作为最高限价</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rPr>
              <w:t>45%</w:t>
            </w:r>
            <w:r>
              <w:rPr>
                <w:rFonts w:hint="eastAsia" w:ascii="宋体" w:hAnsi="宋体" w:eastAsia="宋体" w:cs="宋体"/>
                <w:color w:val="auto"/>
                <w:sz w:val="24"/>
                <w:szCs w:val="24"/>
                <w:highlight w:val="none"/>
              </w:rPr>
              <w:t>；</w:t>
            </w:r>
          </w:p>
          <w:p w14:paraId="04CF2F6B">
            <w:pPr>
              <w:pStyle w:val="8"/>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（4）评标委员会基于专业判断，认为投标人报价过低，有可能影响产品质量或者不能诚信履约的其他情形。</w:t>
            </w:r>
          </w:p>
          <w:p w14:paraId="1B5AC516">
            <w:pPr>
              <w:pStyle w:val="8"/>
              <w:spacing w:line="360" w:lineRule="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提醒：</w:t>
            </w:r>
          </w:p>
          <w:p w14:paraId="04478CBA">
            <w:pPr>
              <w:pStyle w:val="8"/>
              <w:spacing w:line="360" w:lineRule="auto"/>
              <w:ind w:firstLine="240" w:firstLineChars="100"/>
              <w:rPr>
                <w:rFonts w:hint="eastAsia" w:ascii="宋体" w:hAnsi="宋体" w:eastAsia="宋体" w:cs="宋体"/>
                <w:color w:val="auto"/>
                <w:sz w:val="24"/>
                <w:highlight w:val="none"/>
              </w:rPr>
            </w:pPr>
            <w:r>
              <w:rPr>
                <w:rFonts w:hint="eastAsia" w:ascii="宋体" w:hAnsi="宋体" w:eastAsia="宋体" w:cs="宋体"/>
                <w:color w:val="auto"/>
                <w:sz w:val="24"/>
                <w:highlight w:val="none"/>
              </w:rPr>
              <w:t>上述</w:t>
            </w:r>
            <w:r>
              <w:rPr>
                <w:rFonts w:hint="eastAsia" w:ascii="宋体" w:hAnsi="宋体" w:eastAsia="宋体"/>
                <w:color w:val="auto"/>
                <w:sz w:val="24"/>
                <w:highlight w:val="none"/>
              </w:rPr>
              <w:t>第（1）项数值计算：涉及总价、单价的精确到“分”并四舍五入，涉及费率的精确到小数点后两位，第三位四舍五入（例：如平均值为123.456元，即为123.46元；如平均值为80.126%，即为80.13%）。</w:t>
            </w:r>
          </w:p>
        </w:tc>
        <w:tc>
          <w:tcPr>
            <w:tcW w:w="2260" w:type="dxa"/>
            <w:vAlign w:val="center"/>
          </w:tcPr>
          <w:p w14:paraId="47EE63BB">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投标人在评审现场合理的时间内对投标价格作出解释，提供项目具体成本测算等与报价合理性相关的书面说明及必要的证明材料，包括但不限于原材料成本、人工成本、制造费用等。</w:t>
            </w:r>
          </w:p>
        </w:tc>
      </w:tr>
    </w:tbl>
    <w:p w14:paraId="627123CE">
      <w:pPr>
        <w:spacing w:line="360" w:lineRule="auto"/>
        <w:rPr>
          <w:rFonts w:hint="eastAsia" w:ascii="宋体" w:hAnsi="宋体" w:eastAsia="宋体" w:cs="Arial"/>
          <w:color w:val="auto"/>
          <w:sz w:val="24"/>
          <w:highlight w:val="none"/>
        </w:rPr>
      </w:pPr>
      <w:r>
        <w:rPr>
          <w:rFonts w:hint="eastAsia" w:ascii="宋体" w:hAnsi="宋体" w:eastAsia="宋体" w:cs="Times New Roman"/>
          <w:color w:val="auto"/>
          <w:sz w:val="24"/>
          <w:highlight w:val="none"/>
        </w:rPr>
        <w:t>注：</w:t>
      </w:r>
    </w:p>
    <w:p w14:paraId="29777838">
      <w:pPr>
        <w:spacing w:line="360" w:lineRule="auto"/>
        <w:ind w:firstLine="480" w:firstLineChars="200"/>
        <w:rPr>
          <w:rFonts w:hint="eastAsia" w:ascii="宋体" w:hAnsi="宋体" w:eastAsia="宋体" w:cs="Arial"/>
          <w:color w:val="auto"/>
          <w:sz w:val="24"/>
          <w:highlight w:val="none"/>
        </w:rPr>
      </w:pPr>
      <w:r>
        <w:rPr>
          <w:rFonts w:hint="eastAsia" w:ascii="宋体" w:hAnsi="宋体" w:eastAsia="宋体" w:cs="Arial"/>
          <w:color w:val="auto"/>
          <w:sz w:val="24"/>
          <w:highlight w:val="none"/>
        </w:rPr>
        <w:t>评标委员会启动异常低价投标审查后，属于评审标准中第（1）项至第（4）项情形的，应当要求相关投标人在评审现场合理的时间内（不少于30分钟）对投标价格作出解释，提供项目具体成本测算等与报价合理性相关的书面说明及必要的证明材料，包括但不限于原材料成本、人工成本、制造费用等。其中，属于第</w:t>
      </w:r>
      <w:r>
        <w:rPr>
          <w:rFonts w:hint="eastAsia" w:ascii="宋体" w:hAnsi="宋体" w:cs="Arial"/>
          <w:color w:val="auto"/>
          <w:sz w:val="24"/>
          <w:highlight w:val="none"/>
        </w:rPr>
        <w:t>（3）</w:t>
      </w:r>
      <w:r>
        <w:rPr>
          <w:rFonts w:hint="eastAsia" w:ascii="宋体" w:hAnsi="宋体" w:eastAsia="宋体" w:cs="Arial"/>
          <w:color w:val="auto"/>
          <w:sz w:val="24"/>
          <w:highlight w:val="none"/>
        </w:rPr>
        <w:t>项情形，投标人已随投标文件一并提交相关书面说明及必要的证明材料的，在评审现场可不再重复提交。</w:t>
      </w:r>
    </w:p>
    <w:p w14:paraId="674BC2C6">
      <w:pPr>
        <w:pStyle w:val="8"/>
        <w:spacing w:line="360" w:lineRule="auto"/>
        <w:ind w:firstLine="480" w:firstLineChars="200"/>
        <w:rPr>
          <w:rFonts w:hint="eastAsia" w:ascii="宋体" w:hAnsi="宋体" w:eastAsia="宋体"/>
          <w:color w:val="auto"/>
          <w:sz w:val="24"/>
          <w:highlight w:val="none"/>
        </w:rPr>
      </w:pPr>
      <w:r>
        <w:rPr>
          <w:rFonts w:hint="eastAsia" w:ascii="宋体" w:hAnsi="宋体" w:eastAsia="宋体"/>
          <w:color w:val="auto"/>
          <w:sz w:val="24"/>
          <w:highlight w:val="none"/>
        </w:rPr>
        <w:t>评标委员会依据专业经验，参考同类项目中标（成交）价格、类似产品市场价格水平、行业人工费用标准、国家有关部门指导行业协会发布的行业平均成本等情况，对报价合理性进行判断。投标人不能提供书面说明、证明材料，或者提供的书面说明、证明材料不能证明其报价合理性的，评标委员会应当将其作为</w:t>
      </w:r>
      <w:r>
        <w:rPr>
          <w:rFonts w:hint="eastAsia" w:ascii="宋体" w:hAnsi="宋体" w:eastAsia="宋体"/>
          <w:b/>
          <w:bCs/>
          <w:color w:val="auto"/>
          <w:sz w:val="24"/>
          <w:highlight w:val="none"/>
        </w:rPr>
        <w:t>无效投标</w:t>
      </w:r>
      <w:r>
        <w:rPr>
          <w:rFonts w:hint="eastAsia" w:ascii="宋体" w:hAnsi="宋体" w:eastAsia="宋体"/>
          <w:color w:val="auto"/>
          <w:sz w:val="24"/>
          <w:highlight w:val="none"/>
        </w:rPr>
        <w:t>处理。</w:t>
      </w:r>
    </w:p>
    <w:p w14:paraId="607C1C3D">
      <w:pPr>
        <w:pStyle w:val="8"/>
        <w:spacing w:line="360" w:lineRule="auto"/>
        <w:ind w:firstLine="480" w:firstLineChars="200"/>
        <w:rPr>
          <w:rFonts w:hint="eastAsia" w:ascii="宋体" w:hAnsi="宋体" w:eastAsia="宋体"/>
          <w:color w:val="auto"/>
          <w:sz w:val="24"/>
          <w:highlight w:val="none"/>
        </w:rPr>
      </w:pPr>
      <w:r>
        <w:rPr>
          <w:rFonts w:hint="eastAsia" w:ascii="宋体" w:hAnsi="宋体" w:eastAsia="宋体"/>
          <w:color w:val="auto"/>
          <w:sz w:val="24"/>
          <w:highlight w:val="none"/>
        </w:rPr>
        <w:t>评标委员会借助互联网等渠道查询相关信息的，应当严格遵守评审工作纪律，不得实施影响评审公正的行为。异常低价响应审查的启动原因、审查意见和审查结果应当在评审报告中记录，并随投标人提供的相关书面说明及证明材料，以及评标委员会有关互联网浏览、查询历史一并归档。</w:t>
      </w:r>
    </w:p>
    <w:p w14:paraId="14544919">
      <w:pPr>
        <w:spacing w:line="360" w:lineRule="auto"/>
        <w:ind w:firstLine="437"/>
        <w:outlineLvl w:val="2"/>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2.4详细审查</w:t>
      </w:r>
    </w:p>
    <w:p w14:paraId="0084FE01">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评标委员会按照下表对投标文件进行详细审查和评分。</w:t>
      </w:r>
    </w:p>
    <w:p w14:paraId="09112F8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本项目综合评分满分为1</w:t>
      </w:r>
      <w:r>
        <w:rPr>
          <w:rFonts w:asciiTheme="minorEastAsia" w:hAnsiTheme="minorEastAsia" w:eastAsiaTheme="minorEastAsia"/>
          <w:color w:val="auto"/>
          <w:sz w:val="24"/>
          <w:highlight w:val="none"/>
        </w:rPr>
        <w:t>00</w:t>
      </w:r>
      <w:r>
        <w:rPr>
          <w:rFonts w:hint="eastAsia" w:asciiTheme="minorEastAsia" w:hAnsiTheme="minorEastAsia" w:eastAsiaTheme="minorEastAsia"/>
          <w:color w:val="auto"/>
          <w:sz w:val="24"/>
          <w:highlight w:val="none"/>
        </w:rPr>
        <w:t>分，其中：技术资信分值占总分值的权重为</w:t>
      </w:r>
      <w:r>
        <w:rPr>
          <w:rFonts w:hint="eastAsia" w:asciiTheme="minorEastAsia" w:hAnsiTheme="minorEastAsia" w:eastAsiaTheme="minorEastAsia"/>
          <w:color w:val="auto"/>
          <w:sz w:val="24"/>
          <w:highlight w:val="none"/>
          <w:u w:val="single"/>
        </w:rPr>
        <w:t>70</w:t>
      </w:r>
      <w:r>
        <w:rPr>
          <w:rFonts w:asciiTheme="minorEastAsia" w:hAnsiTheme="minorEastAsia" w:eastAsiaTheme="minorEastAsia"/>
          <w:color w:val="auto"/>
          <w:sz w:val="24"/>
          <w:highlight w:val="none"/>
        </w:rPr>
        <w:t>%，价格分值占总分值的权重为</w:t>
      </w:r>
      <w:r>
        <w:rPr>
          <w:rFonts w:hint="eastAsia" w:asciiTheme="minorEastAsia" w:hAnsiTheme="minorEastAsia" w:eastAsiaTheme="minorEastAsia"/>
          <w:color w:val="auto"/>
          <w:sz w:val="24"/>
          <w:highlight w:val="none"/>
          <w:u w:val="single"/>
        </w:rPr>
        <w:t>30</w:t>
      </w:r>
      <w:r>
        <w:rPr>
          <w:rFonts w:asciiTheme="minorEastAsia" w:hAnsiTheme="minorEastAsia" w:eastAsiaTheme="minorEastAsia"/>
          <w:color w:val="auto"/>
          <w:sz w:val="24"/>
          <w:highlight w:val="none"/>
        </w:rPr>
        <w:t>%。具体评分细则如下：</w:t>
      </w:r>
    </w:p>
    <w:p w14:paraId="059E26AE">
      <w:pPr>
        <w:pStyle w:val="2"/>
        <w:keepNext w:val="0"/>
        <w:keepLines w:val="0"/>
        <w:pageBreakBefore w:val="0"/>
        <w:widowControl w:val="0"/>
        <w:kinsoku/>
        <w:wordWrap/>
        <w:overflowPunct/>
        <w:topLinePunct w:val="0"/>
        <w:autoSpaceDE/>
        <w:autoSpaceDN/>
        <w:bidi w:val="0"/>
        <w:adjustRightInd/>
        <w:snapToGrid/>
        <w:ind w:left="0" w:leftChars="0" w:firstLine="0" w:firstLineChars="0"/>
        <w:textAlignment w:val="auto"/>
        <w:outlineLvl w:val="3"/>
        <w:rPr>
          <w:rFonts w:hint="default" w:cs="@仿宋_GB2312" w:asciiTheme="minorEastAsia" w:hAnsiTheme="minorEastAsia" w:eastAsiaTheme="minorEastAsia"/>
          <w:b w:val="0"/>
          <w:color w:val="auto"/>
          <w:kern w:val="2"/>
          <w:sz w:val="24"/>
          <w:szCs w:val="20"/>
          <w:highlight w:val="none"/>
          <w:lang w:val="en-US" w:eastAsia="zh-CN" w:bidi="ar-SA"/>
        </w:rPr>
      </w:pPr>
      <w:r>
        <w:rPr>
          <w:rFonts w:hint="eastAsia" w:cs="@仿宋_GB2312" w:asciiTheme="minorEastAsia" w:hAnsiTheme="minorEastAsia" w:eastAsiaTheme="minorEastAsia"/>
          <w:b w:val="0"/>
          <w:color w:val="auto"/>
          <w:kern w:val="2"/>
          <w:sz w:val="24"/>
          <w:szCs w:val="20"/>
          <w:highlight w:val="none"/>
          <w:lang w:val="en-US" w:eastAsia="zh-CN" w:bidi="ar-SA"/>
        </w:rPr>
        <w:t>01包：</w:t>
      </w:r>
    </w:p>
    <w:tbl>
      <w:tblPr>
        <w:tblStyle w:val="2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75"/>
        <w:gridCol w:w="1720"/>
        <w:gridCol w:w="3745"/>
        <w:gridCol w:w="1582"/>
      </w:tblGrid>
      <w:tr w14:paraId="18BC4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865" w:type="pct"/>
            <w:tcBorders>
              <w:top w:val="single" w:color="auto" w:sz="4" w:space="0"/>
              <w:left w:val="single" w:color="auto" w:sz="4" w:space="0"/>
              <w:bottom w:val="single" w:color="auto" w:sz="4" w:space="0"/>
              <w:right w:val="single" w:color="auto" w:sz="4" w:space="0"/>
            </w:tcBorders>
            <w:vAlign w:val="center"/>
          </w:tcPr>
          <w:p w14:paraId="0B1B453F">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b/>
                <w:bCs/>
                <w:color w:val="auto"/>
                <w:sz w:val="24"/>
                <w:szCs w:val="24"/>
                <w:highlight w:val="none"/>
              </w:rPr>
              <w:t>类别</w:t>
            </w:r>
          </w:p>
        </w:tc>
        <w:tc>
          <w:tcPr>
            <w:tcW w:w="1009" w:type="pct"/>
            <w:tcBorders>
              <w:top w:val="single" w:color="auto" w:sz="4" w:space="0"/>
              <w:left w:val="nil"/>
              <w:bottom w:val="single" w:color="auto" w:sz="4" w:space="0"/>
              <w:right w:val="single" w:color="auto" w:sz="4" w:space="0"/>
            </w:tcBorders>
            <w:vAlign w:val="center"/>
          </w:tcPr>
          <w:p w14:paraId="64F6684C">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b/>
                <w:bCs/>
                <w:color w:val="auto"/>
                <w:sz w:val="24"/>
                <w:szCs w:val="24"/>
                <w:highlight w:val="none"/>
              </w:rPr>
              <w:t>评分内容</w:t>
            </w:r>
          </w:p>
        </w:tc>
        <w:tc>
          <w:tcPr>
            <w:tcW w:w="2197" w:type="pct"/>
            <w:tcBorders>
              <w:top w:val="single" w:color="auto" w:sz="4" w:space="0"/>
              <w:left w:val="nil"/>
              <w:bottom w:val="single" w:color="auto" w:sz="4" w:space="0"/>
              <w:right w:val="single" w:color="auto" w:sz="4" w:space="0"/>
            </w:tcBorders>
            <w:vAlign w:val="center"/>
          </w:tcPr>
          <w:p w14:paraId="6C5466F6">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b/>
                <w:bCs/>
                <w:color w:val="auto"/>
                <w:sz w:val="24"/>
                <w:szCs w:val="24"/>
                <w:highlight w:val="none"/>
              </w:rPr>
              <w:t>评分标准</w:t>
            </w:r>
          </w:p>
        </w:tc>
        <w:tc>
          <w:tcPr>
            <w:tcW w:w="927" w:type="pct"/>
            <w:tcBorders>
              <w:top w:val="single" w:color="auto" w:sz="4" w:space="0"/>
              <w:left w:val="nil"/>
              <w:bottom w:val="single" w:color="auto" w:sz="4" w:space="0"/>
              <w:right w:val="single" w:color="auto" w:sz="4" w:space="0"/>
            </w:tcBorders>
            <w:vAlign w:val="center"/>
          </w:tcPr>
          <w:p w14:paraId="5FE8A619">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b/>
                <w:bCs/>
                <w:color w:val="auto"/>
                <w:sz w:val="24"/>
                <w:szCs w:val="24"/>
                <w:highlight w:val="none"/>
              </w:rPr>
              <w:t>分值范围</w:t>
            </w:r>
          </w:p>
        </w:tc>
      </w:tr>
      <w:tr w14:paraId="67963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5" w:type="pct"/>
            <w:vMerge w:val="restart"/>
            <w:tcBorders>
              <w:top w:val="nil"/>
              <w:left w:val="single" w:color="auto" w:sz="4" w:space="0"/>
              <w:bottom w:val="single" w:color="auto" w:sz="4" w:space="0"/>
              <w:right w:val="single" w:color="auto" w:sz="4" w:space="0"/>
            </w:tcBorders>
            <w:vAlign w:val="center"/>
          </w:tcPr>
          <w:p w14:paraId="048CA314">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技术资信分</w:t>
            </w:r>
          </w:p>
          <w:p w14:paraId="4BC63E0C">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u w:val="single"/>
              </w:rPr>
              <w:t>70</w:t>
            </w:r>
            <w:r>
              <w:rPr>
                <w:rFonts w:hint="eastAsia" w:ascii="宋体" w:hAnsi="宋体" w:eastAsia="宋体" w:cs="Times New Roman"/>
                <w:color w:val="auto"/>
                <w:sz w:val="24"/>
                <w:szCs w:val="24"/>
                <w:highlight w:val="none"/>
              </w:rPr>
              <w:t>分）</w:t>
            </w:r>
          </w:p>
        </w:tc>
        <w:tc>
          <w:tcPr>
            <w:tcW w:w="1009" w:type="pct"/>
            <w:tcBorders>
              <w:top w:val="single" w:color="auto" w:sz="4" w:space="0"/>
              <w:left w:val="nil"/>
              <w:bottom w:val="single" w:color="auto" w:sz="4" w:space="0"/>
              <w:right w:val="single" w:color="auto" w:sz="4" w:space="0"/>
            </w:tcBorders>
            <w:vAlign w:val="center"/>
          </w:tcPr>
          <w:p w14:paraId="5D6DA02E">
            <w:pPr>
              <w:spacing w:line="360" w:lineRule="auto"/>
              <w:jc w:val="center"/>
              <w:rPr>
                <w:rFonts w:hint="eastAsia"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产品业绩</w:t>
            </w:r>
          </w:p>
        </w:tc>
        <w:tc>
          <w:tcPr>
            <w:tcW w:w="2197" w:type="pct"/>
            <w:tcBorders>
              <w:top w:val="single" w:color="auto" w:sz="4" w:space="0"/>
              <w:left w:val="nil"/>
              <w:bottom w:val="single" w:color="auto" w:sz="4" w:space="0"/>
              <w:right w:val="single" w:color="auto" w:sz="4" w:space="0"/>
            </w:tcBorders>
            <w:vAlign w:val="center"/>
          </w:tcPr>
          <w:p w14:paraId="6E257085">
            <w:pPr>
              <w:spacing w:line="360" w:lineRule="auto"/>
              <w:rPr>
                <w:rFonts w:hint="eastAsia"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每提供1个自2023年1月1日起（以合同签订时间为准）</w:t>
            </w:r>
            <w:r>
              <w:rPr>
                <w:rFonts w:hint="eastAsia" w:ascii="宋体" w:hAnsi="宋体" w:eastAsia="宋体" w:cs="Times New Roman"/>
                <w:bCs/>
                <w:color w:val="auto"/>
                <w:sz w:val="24"/>
                <w:szCs w:val="24"/>
                <w:highlight w:val="none"/>
              </w:rPr>
              <w:t>核心产品</w:t>
            </w:r>
            <w:r>
              <w:rPr>
                <w:rFonts w:hint="eastAsia" w:ascii="宋体" w:hAnsi="宋体" w:eastAsia="宋体" w:cs="Times New Roman"/>
                <w:bCs/>
                <w:color w:val="auto"/>
                <w:sz w:val="24"/>
                <w:szCs w:val="24"/>
                <w:highlight w:val="none"/>
              </w:rPr>
              <w:t>为医疗机构供货的业绩，得2分，满分</w:t>
            </w:r>
            <w:r>
              <w:rPr>
                <w:rFonts w:hint="eastAsia" w:ascii="宋体" w:hAnsi="宋体" w:eastAsia="宋体" w:cs="Times New Roman"/>
                <w:bCs/>
                <w:color w:val="auto"/>
                <w:sz w:val="24"/>
                <w:szCs w:val="24"/>
                <w:highlight w:val="none"/>
                <w:lang w:val="en-US" w:eastAsia="zh-CN"/>
              </w:rPr>
              <w:t>4</w:t>
            </w:r>
            <w:r>
              <w:rPr>
                <w:rFonts w:hint="eastAsia" w:ascii="宋体" w:hAnsi="宋体" w:eastAsia="宋体" w:cs="Times New Roman"/>
                <w:bCs/>
                <w:color w:val="auto"/>
                <w:sz w:val="24"/>
                <w:szCs w:val="24"/>
                <w:highlight w:val="none"/>
              </w:rPr>
              <w:t>分。</w:t>
            </w:r>
          </w:p>
          <w:p w14:paraId="733A4ACD">
            <w:pPr>
              <w:spacing w:line="360" w:lineRule="auto"/>
              <w:rPr>
                <w:rFonts w:hint="eastAsia"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注：（1）提供合同扫描件（体现合同签订时间、核心产品、合同甲方等评审因素；业绩合同乙方主体不限，合同甲方主体须为医疗机构）；（2）如上述业绩证明材料不能体现相应评审因素，需同时提供业绩合同甲方（或合同业主）盖章证明材料，否则不得分。</w:t>
            </w:r>
          </w:p>
        </w:tc>
        <w:tc>
          <w:tcPr>
            <w:tcW w:w="927" w:type="pct"/>
            <w:tcBorders>
              <w:top w:val="single" w:color="auto" w:sz="4" w:space="0"/>
              <w:left w:val="nil"/>
              <w:bottom w:val="single" w:color="auto" w:sz="4" w:space="0"/>
              <w:right w:val="single" w:color="auto" w:sz="4" w:space="0"/>
            </w:tcBorders>
            <w:vAlign w:val="center"/>
          </w:tcPr>
          <w:p w14:paraId="502D0665">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0-</w:t>
            </w:r>
            <w:r>
              <w:rPr>
                <w:rFonts w:hint="eastAsia" w:ascii="宋体" w:hAnsi="宋体" w:eastAsia="宋体" w:cs="Times New Roman"/>
                <w:color w:val="auto"/>
                <w:sz w:val="24"/>
                <w:szCs w:val="24"/>
                <w:highlight w:val="none"/>
                <w:lang w:val="en-US" w:eastAsia="zh-CN"/>
              </w:rPr>
              <w:t>4</w:t>
            </w:r>
            <w:r>
              <w:rPr>
                <w:rFonts w:hint="eastAsia" w:ascii="宋体" w:hAnsi="宋体" w:eastAsia="宋体" w:cs="Times New Roman"/>
                <w:color w:val="auto"/>
                <w:sz w:val="24"/>
                <w:szCs w:val="24"/>
                <w:highlight w:val="none"/>
              </w:rPr>
              <w:t>分</w:t>
            </w:r>
          </w:p>
        </w:tc>
      </w:tr>
      <w:tr w14:paraId="3E733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nil"/>
              <w:left w:val="single" w:color="auto" w:sz="4" w:space="0"/>
              <w:bottom w:val="single" w:color="auto" w:sz="4" w:space="0"/>
              <w:right w:val="single" w:color="auto" w:sz="4" w:space="0"/>
            </w:tcBorders>
            <w:vAlign w:val="center"/>
          </w:tcPr>
          <w:p w14:paraId="18FD20EE">
            <w:pPr>
              <w:widowControl/>
              <w:jc w:val="left"/>
              <w:rPr>
                <w:rFonts w:hint="eastAsia" w:ascii="宋体" w:hAnsi="宋体" w:eastAsia="宋体" w:cs="Times New Roman"/>
                <w:b/>
                <w:bCs/>
                <w:color w:val="auto"/>
                <w:sz w:val="24"/>
                <w:szCs w:val="24"/>
                <w:highlight w:val="none"/>
              </w:rPr>
            </w:pPr>
          </w:p>
        </w:tc>
        <w:tc>
          <w:tcPr>
            <w:tcW w:w="1009" w:type="pct"/>
            <w:tcBorders>
              <w:top w:val="single" w:color="auto" w:sz="4" w:space="0"/>
              <w:left w:val="nil"/>
              <w:bottom w:val="single" w:color="auto" w:sz="4" w:space="0"/>
              <w:right w:val="single" w:color="auto" w:sz="4" w:space="0"/>
            </w:tcBorders>
            <w:vAlign w:val="center"/>
          </w:tcPr>
          <w:p w14:paraId="6483FAD6">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技术参数及要求响应情况</w:t>
            </w:r>
          </w:p>
        </w:tc>
        <w:tc>
          <w:tcPr>
            <w:tcW w:w="2197" w:type="pct"/>
            <w:tcBorders>
              <w:top w:val="single" w:color="auto" w:sz="4" w:space="0"/>
              <w:left w:val="nil"/>
              <w:bottom w:val="single" w:color="auto" w:sz="4" w:space="0"/>
              <w:right w:val="single" w:color="auto" w:sz="4" w:space="0"/>
            </w:tcBorders>
            <w:vAlign w:val="center"/>
          </w:tcPr>
          <w:p w14:paraId="1090BC7B">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根据投标人对招标文件的《第三章 采购需求》中“二、货物需求一览表”的技术参数及要求响应情况进行评分：</w:t>
            </w:r>
          </w:p>
          <w:p w14:paraId="5ADC2B4D">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（1）标注“</w:t>
            </w:r>
            <w:r>
              <w:rPr>
                <w:rFonts w:hint="eastAsia" w:ascii="宋体" w:hAnsi="宋体" w:eastAsia="宋体" w:cs="Times New Roman"/>
                <w:color w:val="auto"/>
                <w:sz w:val="24"/>
                <w:szCs w:val="24"/>
                <w:highlight w:val="none"/>
                <w:lang w:val="en-US" w:eastAsia="zh-CN"/>
              </w:rPr>
              <w:t>★</w:t>
            </w:r>
            <w:r>
              <w:rPr>
                <w:rFonts w:hint="eastAsia" w:ascii="宋体" w:hAnsi="宋体" w:eastAsia="宋体" w:cs="Times New Roman"/>
                <w:color w:val="auto"/>
                <w:sz w:val="24"/>
                <w:szCs w:val="24"/>
                <w:highlight w:val="none"/>
              </w:rPr>
              <w:t>”的技术参数，存在负偏离的投标将被否决。</w:t>
            </w:r>
          </w:p>
          <w:p w14:paraId="20A70ED0">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lang w:val="en-US" w:eastAsia="zh-CN"/>
              </w:rPr>
              <w:t>2</w:t>
            </w:r>
            <w:r>
              <w:rPr>
                <w:rFonts w:hint="eastAsia" w:ascii="宋体" w:hAnsi="宋体" w:eastAsia="宋体" w:cs="Times New Roman"/>
                <w:color w:val="auto"/>
                <w:sz w:val="24"/>
                <w:szCs w:val="24"/>
                <w:highlight w:val="none"/>
              </w:rPr>
              <w:t>）标注“▲”的技术参数，每一项负偏离扣2分，</w:t>
            </w:r>
            <w:r>
              <w:rPr>
                <w:rFonts w:hint="eastAsia" w:ascii="宋体" w:hAnsi="宋体" w:eastAsia="宋体" w:cs="Times New Roman"/>
                <w:color w:val="auto"/>
                <w:sz w:val="24"/>
                <w:szCs w:val="24"/>
                <w:highlight w:val="none"/>
                <w:lang w:val="en-US" w:eastAsia="zh-CN"/>
              </w:rPr>
              <w:t>10</w:t>
            </w:r>
            <w:r>
              <w:rPr>
                <w:rFonts w:hint="eastAsia" w:ascii="宋体" w:hAnsi="宋体" w:eastAsia="宋体" w:cs="Times New Roman"/>
                <w:color w:val="auto"/>
                <w:sz w:val="24"/>
                <w:szCs w:val="24"/>
                <w:highlight w:val="none"/>
              </w:rPr>
              <w:t>项（不含）以上存在负偏离的投标将被否决，本小项满分</w:t>
            </w:r>
            <w:r>
              <w:rPr>
                <w:rFonts w:hint="eastAsia" w:ascii="宋体" w:hAnsi="宋体" w:eastAsia="宋体" w:cs="Times New Roman"/>
                <w:color w:val="auto"/>
                <w:sz w:val="24"/>
                <w:szCs w:val="24"/>
                <w:highlight w:val="none"/>
                <w:lang w:val="en-US" w:eastAsia="zh-CN"/>
              </w:rPr>
              <w:t>20</w:t>
            </w:r>
            <w:r>
              <w:rPr>
                <w:rFonts w:hint="eastAsia" w:ascii="宋体" w:hAnsi="宋体" w:eastAsia="宋体" w:cs="Times New Roman"/>
                <w:color w:val="auto"/>
                <w:sz w:val="24"/>
                <w:szCs w:val="24"/>
                <w:highlight w:val="none"/>
              </w:rPr>
              <w:t>分。</w:t>
            </w:r>
          </w:p>
          <w:p w14:paraId="38226E4A">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（2）未标注“▲”的技术参数要求，每一项负偏离扣1分，</w:t>
            </w:r>
            <w:r>
              <w:rPr>
                <w:rFonts w:hint="eastAsia" w:ascii="宋体" w:hAnsi="宋体" w:eastAsia="宋体" w:cs="Times New Roman"/>
                <w:color w:val="auto"/>
                <w:sz w:val="24"/>
                <w:szCs w:val="24"/>
                <w:highlight w:val="none"/>
                <w:lang w:val="en-US" w:eastAsia="zh-CN"/>
              </w:rPr>
              <w:t>21</w:t>
            </w:r>
            <w:r>
              <w:rPr>
                <w:rFonts w:hint="eastAsia" w:ascii="宋体" w:hAnsi="宋体" w:eastAsia="宋体" w:cs="Times New Roman"/>
                <w:color w:val="auto"/>
                <w:sz w:val="24"/>
                <w:szCs w:val="24"/>
                <w:highlight w:val="none"/>
              </w:rPr>
              <w:t>项（不含）以上存在负偏离的投标将被否决，本小项满分</w:t>
            </w:r>
            <w:r>
              <w:rPr>
                <w:rFonts w:hint="eastAsia" w:ascii="宋体" w:hAnsi="宋体" w:eastAsia="宋体" w:cs="Times New Roman"/>
                <w:color w:val="auto"/>
                <w:sz w:val="24"/>
                <w:szCs w:val="24"/>
                <w:highlight w:val="none"/>
                <w:lang w:val="en-US" w:eastAsia="zh-CN"/>
              </w:rPr>
              <w:t>21</w:t>
            </w:r>
            <w:r>
              <w:rPr>
                <w:rFonts w:hint="eastAsia" w:ascii="宋体" w:hAnsi="宋体" w:eastAsia="宋体" w:cs="Times New Roman"/>
                <w:color w:val="auto"/>
                <w:sz w:val="24"/>
                <w:szCs w:val="24"/>
                <w:highlight w:val="none"/>
              </w:rPr>
              <w:t>分。</w:t>
            </w:r>
          </w:p>
          <w:p w14:paraId="1ABF0975">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注：以投标响应表中的技术响应表和采购需求中要求提供的证明材料作为评审依据。</w:t>
            </w:r>
          </w:p>
        </w:tc>
        <w:tc>
          <w:tcPr>
            <w:tcW w:w="927" w:type="pct"/>
            <w:tcBorders>
              <w:top w:val="single" w:color="auto" w:sz="4" w:space="0"/>
              <w:left w:val="nil"/>
              <w:bottom w:val="single" w:color="auto" w:sz="4" w:space="0"/>
              <w:right w:val="single" w:color="auto" w:sz="4" w:space="0"/>
            </w:tcBorders>
            <w:vAlign w:val="center"/>
          </w:tcPr>
          <w:p w14:paraId="71122747">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color w:val="auto"/>
                <w:sz w:val="24"/>
                <w:szCs w:val="24"/>
                <w:highlight w:val="none"/>
              </w:rPr>
              <w:t>0-</w:t>
            </w:r>
            <w:r>
              <w:rPr>
                <w:rFonts w:hint="eastAsia" w:ascii="宋体" w:hAnsi="宋体" w:eastAsia="宋体" w:cs="Times New Roman"/>
                <w:color w:val="auto"/>
                <w:sz w:val="24"/>
                <w:szCs w:val="24"/>
                <w:highlight w:val="none"/>
                <w:lang w:val="en-US" w:eastAsia="zh-CN"/>
              </w:rPr>
              <w:t>41</w:t>
            </w:r>
            <w:r>
              <w:rPr>
                <w:rFonts w:hint="eastAsia" w:ascii="宋体" w:hAnsi="宋体" w:eastAsia="宋体" w:cs="Times New Roman"/>
                <w:color w:val="auto"/>
                <w:sz w:val="24"/>
                <w:szCs w:val="24"/>
                <w:highlight w:val="none"/>
              </w:rPr>
              <w:t>分</w:t>
            </w:r>
          </w:p>
        </w:tc>
      </w:tr>
      <w:tr w14:paraId="3AF1D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nil"/>
              <w:left w:val="single" w:color="auto" w:sz="4" w:space="0"/>
              <w:bottom w:val="single" w:color="auto" w:sz="4" w:space="0"/>
              <w:right w:val="single" w:color="auto" w:sz="4" w:space="0"/>
            </w:tcBorders>
            <w:vAlign w:val="center"/>
          </w:tcPr>
          <w:p w14:paraId="3D15262C">
            <w:pPr>
              <w:widowControl/>
              <w:jc w:val="left"/>
              <w:rPr>
                <w:rFonts w:hint="eastAsia" w:ascii="宋体" w:hAnsi="宋体" w:eastAsia="宋体" w:cs="Times New Roman"/>
                <w:b/>
                <w:bCs/>
                <w:color w:val="auto"/>
                <w:sz w:val="24"/>
                <w:szCs w:val="24"/>
                <w:highlight w:val="none"/>
              </w:rPr>
            </w:pPr>
          </w:p>
        </w:tc>
        <w:tc>
          <w:tcPr>
            <w:tcW w:w="1009" w:type="pct"/>
            <w:tcBorders>
              <w:top w:val="single" w:color="auto" w:sz="4" w:space="0"/>
              <w:left w:val="nil"/>
              <w:bottom w:val="single" w:color="auto" w:sz="4" w:space="0"/>
              <w:right w:val="single" w:color="auto" w:sz="4" w:space="0"/>
            </w:tcBorders>
            <w:vAlign w:val="center"/>
          </w:tcPr>
          <w:p w14:paraId="4679A7CB">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项目重难点的应对措施</w:t>
            </w:r>
          </w:p>
        </w:tc>
        <w:tc>
          <w:tcPr>
            <w:tcW w:w="2197" w:type="pct"/>
            <w:tcBorders>
              <w:top w:val="single" w:color="auto" w:sz="4" w:space="0"/>
              <w:left w:val="nil"/>
              <w:bottom w:val="single" w:color="auto" w:sz="4" w:space="0"/>
              <w:right w:val="single" w:color="auto" w:sz="4" w:space="0"/>
            </w:tcBorders>
            <w:vAlign w:val="center"/>
          </w:tcPr>
          <w:p w14:paraId="6CA96C77">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评标委员会根据招标文件要求及投标人提供的项目重难点应对措施，进行综合评分：</w:t>
            </w:r>
          </w:p>
          <w:p w14:paraId="5B6958F9">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（1）措施完整详细，可行性、实用性、针对性较强，优于本项目采购需求的，得5分。</w:t>
            </w:r>
          </w:p>
          <w:p w14:paraId="3A5B5524">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（2）措施基本完整，具有可行性、实用性、针对性，适合本项目采购需求的，得3分。</w:t>
            </w:r>
          </w:p>
          <w:p w14:paraId="1826A39B">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（3）措施有待提升，可行性、实用性、针对性有待完善，基本适合本项目采购需求的，得1分。</w:t>
            </w:r>
          </w:p>
          <w:p w14:paraId="2DBBCBE5">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（4）方案不可行或未提供的，得0分。</w:t>
            </w:r>
          </w:p>
        </w:tc>
        <w:tc>
          <w:tcPr>
            <w:tcW w:w="927" w:type="pct"/>
            <w:tcBorders>
              <w:top w:val="single" w:color="auto" w:sz="4" w:space="0"/>
              <w:left w:val="nil"/>
              <w:bottom w:val="single" w:color="auto" w:sz="4" w:space="0"/>
              <w:right w:val="single" w:color="auto" w:sz="4" w:space="0"/>
            </w:tcBorders>
            <w:vAlign w:val="center"/>
          </w:tcPr>
          <w:p w14:paraId="466F20E3">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color w:val="auto"/>
                <w:sz w:val="24"/>
                <w:szCs w:val="24"/>
                <w:highlight w:val="none"/>
              </w:rPr>
              <w:t>0-5分</w:t>
            </w:r>
          </w:p>
        </w:tc>
      </w:tr>
      <w:tr w14:paraId="7B902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nil"/>
              <w:left w:val="single" w:color="auto" w:sz="4" w:space="0"/>
              <w:bottom w:val="single" w:color="auto" w:sz="4" w:space="0"/>
              <w:right w:val="single" w:color="auto" w:sz="4" w:space="0"/>
            </w:tcBorders>
            <w:vAlign w:val="center"/>
          </w:tcPr>
          <w:p w14:paraId="2CD4F80C">
            <w:pPr>
              <w:widowControl/>
              <w:jc w:val="left"/>
              <w:rPr>
                <w:rFonts w:hint="eastAsia" w:ascii="宋体" w:hAnsi="宋体" w:eastAsia="宋体" w:cs="Times New Roman"/>
                <w:b/>
                <w:bCs/>
                <w:color w:val="auto"/>
                <w:sz w:val="24"/>
                <w:szCs w:val="24"/>
                <w:highlight w:val="none"/>
              </w:rPr>
            </w:pPr>
          </w:p>
        </w:tc>
        <w:tc>
          <w:tcPr>
            <w:tcW w:w="1009" w:type="pct"/>
            <w:tcBorders>
              <w:top w:val="single" w:color="auto" w:sz="4" w:space="0"/>
              <w:left w:val="nil"/>
              <w:bottom w:val="single" w:color="auto" w:sz="4" w:space="0"/>
              <w:right w:val="single" w:color="auto" w:sz="4" w:space="0"/>
            </w:tcBorders>
            <w:vAlign w:val="center"/>
          </w:tcPr>
          <w:p w14:paraId="2BB54AE6">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供货方案</w:t>
            </w:r>
          </w:p>
        </w:tc>
        <w:tc>
          <w:tcPr>
            <w:tcW w:w="2197" w:type="pct"/>
            <w:tcBorders>
              <w:top w:val="single" w:color="auto" w:sz="4" w:space="0"/>
              <w:left w:val="nil"/>
              <w:bottom w:val="single" w:color="auto" w:sz="4" w:space="0"/>
              <w:right w:val="single" w:color="auto" w:sz="4" w:space="0"/>
            </w:tcBorders>
            <w:vAlign w:val="center"/>
          </w:tcPr>
          <w:p w14:paraId="37F35056">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评标委员会根据招标文件要求及投标人提供的供货方案</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lang w:val="en-US" w:eastAsia="zh-CN"/>
              </w:rPr>
              <w:t>包含但不限于生产排产计划、配套设施设备、专项包装运输措施、到货验收及随机资料交付等</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，进行综合评分：</w:t>
            </w:r>
          </w:p>
          <w:p w14:paraId="541478B0">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（1）方案全面，组织架构科学，人员配置合理，响应时间快，可行性、实用性、针对性较强，优于本项目采购需求的，得5分。</w:t>
            </w:r>
          </w:p>
          <w:p w14:paraId="2EB7FB7B">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（2）方案较全面，组织架构较合理，人员配置较合理，响应时间较快，具有可行性、实用性、针对性，适合本项目采购需求的，得3分。</w:t>
            </w:r>
          </w:p>
          <w:p w14:paraId="41A0AAD8">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（3）方案有待提升，可行性、实用性、针对性有待完善，基本适合本项目采购需求的，得1分。</w:t>
            </w:r>
          </w:p>
          <w:p w14:paraId="70EFFD49">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（4）方案不可行或未提供的，得0分。</w:t>
            </w:r>
          </w:p>
        </w:tc>
        <w:tc>
          <w:tcPr>
            <w:tcW w:w="927" w:type="pct"/>
            <w:tcBorders>
              <w:top w:val="single" w:color="auto" w:sz="4" w:space="0"/>
              <w:left w:val="nil"/>
              <w:bottom w:val="single" w:color="auto" w:sz="4" w:space="0"/>
              <w:right w:val="single" w:color="auto" w:sz="4" w:space="0"/>
            </w:tcBorders>
            <w:vAlign w:val="center"/>
          </w:tcPr>
          <w:p w14:paraId="2703574C">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0-5分</w:t>
            </w:r>
          </w:p>
        </w:tc>
      </w:tr>
      <w:tr w14:paraId="48DB4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nil"/>
              <w:left w:val="single" w:color="auto" w:sz="4" w:space="0"/>
              <w:bottom w:val="single" w:color="auto" w:sz="4" w:space="0"/>
              <w:right w:val="single" w:color="auto" w:sz="4" w:space="0"/>
            </w:tcBorders>
            <w:vAlign w:val="center"/>
          </w:tcPr>
          <w:p w14:paraId="4E8B31EA">
            <w:pPr>
              <w:widowControl/>
              <w:jc w:val="left"/>
              <w:rPr>
                <w:rFonts w:hint="eastAsia" w:ascii="宋体" w:hAnsi="宋体" w:eastAsia="宋体" w:cs="Times New Roman"/>
                <w:b/>
                <w:bCs/>
                <w:color w:val="auto"/>
                <w:sz w:val="24"/>
                <w:szCs w:val="24"/>
                <w:highlight w:val="none"/>
              </w:rPr>
            </w:pPr>
          </w:p>
        </w:tc>
        <w:tc>
          <w:tcPr>
            <w:tcW w:w="1009" w:type="pct"/>
            <w:tcBorders>
              <w:top w:val="single" w:color="auto" w:sz="4" w:space="0"/>
              <w:left w:val="nil"/>
              <w:bottom w:val="single" w:color="auto" w:sz="4" w:space="0"/>
              <w:right w:val="single" w:color="auto" w:sz="4" w:space="0"/>
            </w:tcBorders>
            <w:vAlign w:val="center"/>
          </w:tcPr>
          <w:p w14:paraId="2009BC5F">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安装调试方案</w:t>
            </w:r>
          </w:p>
        </w:tc>
        <w:tc>
          <w:tcPr>
            <w:tcW w:w="2197" w:type="pct"/>
            <w:tcBorders>
              <w:top w:val="single" w:color="auto" w:sz="4" w:space="0"/>
              <w:left w:val="nil"/>
              <w:bottom w:val="single" w:color="auto" w:sz="4" w:space="0"/>
              <w:right w:val="single" w:color="auto" w:sz="4" w:space="0"/>
            </w:tcBorders>
            <w:vAlign w:val="center"/>
          </w:tcPr>
          <w:p w14:paraId="7DAB7A7F">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评标委员会根据投标人提供的安装调试方案</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lang w:val="en-US" w:eastAsia="zh-CN"/>
              </w:rPr>
              <w:t>包含但不限于场地条件确认、安装人员配备、调试流程及进度安排、设备核心性能指标验收等</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进行综合评分：</w:t>
            </w:r>
          </w:p>
          <w:p w14:paraId="2F2F7952">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（1）安装调试过程中提供充足的备品备件、辅材，能够在规定时间内完成安装调试任务，优于本项目采购需求的，得5分；</w:t>
            </w:r>
          </w:p>
          <w:p w14:paraId="433F0B7B">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（2）供货安装过程中提供的备品备件、辅材预留情况基本满足项目需求，能够在规定时间内完成安装调试任务，适合本项目采购需求的，得3分；</w:t>
            </w:r>
          </w:p>
          <w:p w14:paraId="42A460EE">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（3）供货安装过程中提供的备品备件、辅材预留情况有待完善，能够在规定时间内完成安装调试任务的，得1分；</w:t>
            </w:r>
          </w:p>
          <w:p w14:paraId="04135844">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（4）方案不可行或者未提供，得0分。</w:t>
            </w:r>
          </w:p>
        </w:tc>
        <w:tc>
          <w:tcPr>
            <w:tcW w:w="927" w:type="pct"/>
            <w:tcBorders>
              <w:top w:val="single" w:color="auto" w:sz="4" w:space="0"/>
              <w:left w:val="nil"/>
              <w:bottom w:val="single" w:color="auto" w:sz="4" w:space="0"/>
              <w:right w:val="single" w:color="auto" w:sz="4" w:space="0"/>
            </w:tcBorders>
            <w:vAlign w:val="center"/>
          </w:tcPr>
          <w:p w14:paraId="4A96E752">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0-5分</w:t>
            </w:r>
          </w:p>
        </w:tc>
      </w:tr>
      <w:tr w14:paraId="15532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nil"/>
              <w:left w:val="single" w:color="auto" w:sz="4" w:space="0"/>
              <w:bottom w:val="single" w:color="auto" w:sz="4" w:space="0"/>
              <w:right w:val="single" w:color="auto" w:sz="4" w:space="0"/>
            </w:tcBorders>
            <w:vAlign w:val="center"/>
          </w:tcPr>
          <w:p w14:paraId="0B056175">
            <w:pPr>
              <w:widowControl/>
              <w:jc w:val="left"/>
              <w:rPr>
                <w:rFonts w:hint="eastAsia" w:ascii="宋体" w:hAnsi="宋体" w:eastAsia="宋体" w:cs="Times New Roman"/>
                <w:b/>
                <w:bCs/>
                <w:color w:val="auto"/>
                <w:sz w:val="24"/>
                <w:szCs w:val="24"/>
                <w:highlight w:val="none"/>
              </w:rPr>
            </w:pPr>
          </w:p>
        </w:tc>
        <w:tc>
          <w:tcPr>
            <w:tcW w:w="1009" w:type="pct"/>
            <w:tcBorders>
              <w:top w:val="single" w:color="auto" w:sz="4" w:space="0"/>
              <w:left w:val="nil"/>
              <w:bottom w:val="single" w:color="auto" w:sz="4" w:space="0"/>
              <w:right w:val="single" w:color="auto" w:sz="4" w:space="0"/>
            </w:tcBorders>
            <w:vAlign w:val="center"/>
          </w:tcPr>
          <w:p w14:paraId="45CE0FDC">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售后服务方案</w:t>
            </w:r>
          </w:p>
        </w:tc>
        <w:tc>
          <w:tcPr>
            <w:tcW w:w="2197" w:type="pct"/>
            <w:tcBorders>
              <w:top w:val="single" w:color="auto" w:sz="4" w:space="0"/>
              <w:left w:val="nil"/>
              <w:bottom w:val="single" w:color="auto" w:sz="4" w:space="0"/>
              <w:right w:val="single" w:color="auto" w:sz="4" w:space="0"/>
            </w:tcBorders>
            <w:vAlign w:val="center"/>
          </w:tcPr>
          <w:p w14:paraId="43DE865B">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评标委员会根据招标文件要求及投标人提供的售后服务方案</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lang w:val="en-US" w:eastAsia="zh-CN"/>
              </w:rPr>
              <w:t>包含但不限于</w:t>
            </w:r>
            <w:r>
              <w:rPr>
                <w:rFonts w:hint="eastAsia" w:ascii="宋体" w:hAnsi="宋体" w:eastAsia="宋体" w:cs="Times New Roman"/>
                <w:color w:val="auto"/>
                <w:sz w:val="24"/>
                <w:szCs w:val="24"/>
                <w:highlight w:val="none"/>
                <w:lang w:eastAsia="zh-CN"/>
              </w:rPr>
              <w:t>服务团队配置、响应时限及故障解决承诺、核心备件储备、维保及软件升级</w:t>
            </w:r>
            <w:r>
              <w:rPr>
                <w:rFonts w:hint="eastAsia" w:ascii="宋体" w:hAnsi="宋体" w:eastAsia="宋体" w:cs="Times New Roman"/>
                <w:color w:val="auto"/>
                <w:sz w:val="24"/>
                <w:szCs w:val="24"/>
                <w:highlight w:val="none"/>
                <w:lang w:val="en-US" w:eastAsia="zh-CN"/>
              </w:rPr>
              <w:t>等</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，进行综合评分：</w:t>
            </w:r>
          </w:p>
          <w:p w14:paraId="66E47377">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（1）具有完善的售后服务计划、措施，技术支持快速及时，培训方案完整详细，可行性、实用性、针对性较强，优于本项目采购需求的，得5分；</w:t>
            </w:r>
          </w:p>
          <w:p w14:paraId="5FFA5389">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（2）售后服务计划、措施基本完善，培训内容基本详实，技术支持及时，培训方案基本完整，具有可行性、实用性、针对性，能够保障本项目采购需求的，得3分；</w:t>
            </w:r>
          </w:p>
          <w:p w14:paraId="3397BAF2">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（3）售后服务方案、培训方案有待提升，可行性、实用性、针对性有待完善，基本保障本项目采购需求的，得1分；</w:t>
            </w:r>
          </w:p>
          <w:p w14:paraId="3CB0E9AB">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（4）方案不可行或未提供的得0分。</w:t>
            </w:r>
          </w:p>
        </w:tc>
        <w:tc>
          <w:tcPr>
            <w:tcW w:w="927" w:type="pct"/>
            <w:tcBorders>
              <w:top w:val="single" w:color="auto" w:sz="4" w:space="0"/>
              <w:left w:val="nil"/>
              <w:bottom w:val="single" w:color="auto" w:sz="4" w:space="0"/>
              <w:right w:val="single" w:color="auto" w:sz="4" w:space="0"/>
            </w:tcBorders>
            <w:vAlign w:val="center"/>
          </w:tcPr>
          <w:p w14:paraId="39C26E6E">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0-5分</w:t>
            </w:r>
          </w:p>
        </w:tc>
      </w:tr>
      <w:tr w14:paraId="43C42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nil"/>
              <w:left w:val="single" w:color="auto" w:sz="4" w:space="0"/>
              <w:bottom w:val="single" w:color="auto" w:sz="4" w:space="0"/>
              <w:right w:val="single" w:color="auto" w:sz="4" w:space="0"/>
            </w:tcBorders>
            <w:vAlign w:val="center"/>
          </w:tcPr>
          <w:p w14:paraId="06AC4695">
            <w:pPr>
              <w:widowControl/>
              <w:jc w:val="left"/>
              <w:rPr>
                <w:rFonts w:hint="eastAsia" w:ascii="宋体" w:hAnsi="宋体" w:eastAsia="宋体" w:cs="Times New Roman"/>
                <w:b/>
                <w:bCs/>
                <w:color w:val="auto"/>
                <w:sz w:val="24"/>
                <w:szCs w:val="24"/>
                <w:highlight w:val="none"/>
              </w:rPr>
            </w:pPr>
          </w:p>
        </w:tc>
        <w:tc>
          <w:tcPr>
            <w:tcW w:w="1009" w:type="pct"/>
            <w:tcBorders>
              <w:top w:val="single" w:color="auto" w:sz="4" w:space="0"/>
              <w:left w:val="nil"/>
              <w:bottom w:val="single" w:color="auto" w:sz="4" w:space="0"/>
              <w:right w:val="single" w:color="auto" w:sz="4" w:space="0"/>
            </w:tcBorders>
            <w:vAlign w:val="center"/>
          </w:tcPr>
          <w:p w14:paraId="3F134518">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优惠承诺及增值服务</w:t>
            </w:r>
          </w:p>
        </w:tc>
        <w:tc>
          <w:tcPr>
            <w:tcW w:w="2197" w:type="pct"/>
            <w:tcBorders>
              <w:top w:val="single" w:color="auto" w:sz="4" w:space="0"/>
              <w:left w:val="nil"/>
              <w:bottom w:val="single" w:color="auto" w:sz="4" w:space="0"/>
              <w:right w:val="single" w:color="auto" w:sz="4" w:space="0"/>
            </w:tcBorders>
            <w:vAlign w:val="center"/>
          </w:tcPr>
          <w:p w14:paraId="1C58831A">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评标委员根据投标人提供的优惠承诺及增值服务对于采购人的实际经济效益进行评审：</w:t>
            </w:r>
          </w:p>
          <w:p w14:paraId="1777B205">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（1）有具体优惠条件及增值服务，且优惠条件及增值服务实用性强，实际价值高的，得5分；</w:t>
            </w:r>
          </w:p>
          <w:p w14:paraId="343E4528">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（2）有具体的优惠条件及增值服务，且优惠条件及增值服务具有实用性的，得3分；</w:t>
            </w:r>
          </w:p>
          <w:p w14:paraId="4BEAABA1">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（3）有优惠条件及增值服务，实用性有待提升的，得1分；</w:t>
            </w:r>
          </w:p>
          <w:p w14:paraId="6C2BC522">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（4）未提供的，得0分。</w:t>
            </w:r>
          </w:p>
        </w:tc>
        <w:tc>
          <w:tcPr>
            <w:tcW w:w="927" w:type="pct"/>
            <w:tcBorders>
              <w:top w:val="single" w:color="auto" w:sz="4" w:space="0"/>
              <w:left w:val="nil"/>
              <w:bottom w:val="single" w:color="auto" w:sz="4" w:space="0"/>
              <w:right w:val="single" w:color="auto" w:sz="4" w:space="0"/>
            </w:tcBorders>
            <w:vAlign w:val="center"/>
          </w:tcPr>
          <w:p w14:paraId="4071766C">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color w:val="auto"/>
                <w:sz w:val="24"/>
                <w:szCs w:val="24"/>
                <w:highlight w:val="none"/>
              </w:rPr>
              <w:t>0-5分</w:t>
            </w:r>
          </w:p>
        </w:tc>
      </w:tr>
      <w:tr w14:paraId="7C6AD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5" w:type="pct"/>
            <w:tcBorders>
              <w:top w:val="single" w:color="auto" w:sz="4" w:space="0"/>
              <w:left w:val="single" w:color="auto" w:sz="4" w:space="0"/>
              <w:bottom w:val="single" w:color="auto" w:sz="4" w:space="0"/>
              <w:right w:val="single" w:color="auto" w:sz="4" w:space="0"/>
            </w:tcBorders>
            <w:vAlign w:val="center"/>
          </w:tcPr>
          <w:p w14:paraId="5A509445">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价格分</w:t>
            </w:r>
          </w:p>
          <w:p w14:paraId="178082B0">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u w:val="single"/>
              </w:rPr>
              <w:t>30</w:t>
            </w:r>
            <w:r>
              <w:rPr>
                <w:rFonts w:hint="eastAsia" w:ascii="宋体" w:hAnsi="宋体" w:eastAsia="宋体" w:cs="Times New Roman"/>
                <w:color w:val="auto"/>
                <w:sz w:val="24"/>
                <w:szCs w:val="24"/>
                <w:highlight w:val="none"/>
              </w:rPr>
              <w:t>分）</w:t>
            </w:r>
          </w:p>
        </w:tc>
        <w:tc>
          <w:tcPr>
            <w:tcW w:w="4134" w:type="pct"/>
            <w:gridSpan w:val="3"/>
            <w:tcBorders>
              <w:top w:val="single" w:color="auto" w:sz="4" w:space="0"/>
              <w:left w:val="nil"/>
              <w:bottom w:val="single" w:color="auto" w:sz="4" w:space="0"/>
              <w:right w:val="single" w:color="auto" w:sz="4" w:space="0"/>
            </w:tcBorders>
            <w:vAlign w:val="center"/>
          </w:tcPr>
          <w:p w14:paraId="70DF45F2">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价格分统一采用低价优先法，即满足招标文件要求且投标价格最低的投标报价为评标基准价，其价格分为满分30分。其他投标人的价格分统一按照下列公式计算：</w:t>
            </w:r>
          </w:p>
          <w:p w14:paraId="69D5F666">
            <w:pPr>
              <w:spacing w:line="360" w:lineRule="auto"/>
              <w:rPr>
                <w:rFonts w:hint="eastAsia" w:ascii="宋体" w:hAnsi="宋体" w:eastAsia="宋体" w:cs="Times New Roman"/>
                <w:b/>
                <w:bCs/>
                <w:color w:val="auto"/>
                <w:sz w:val="24"/>
                <w:szCs w:val="24"/>
                <w:highlight w:val="none"/>
              </w:rPr>
            </w:pPr>
            <w:r>
              <w:rPr>
                <w:rFonts w:hint="eastAsia" w:ascii="宋体" w:hAnsi="宋体" w:eastAsia="宋体" w:cs="Times New Roman"/>
                <w:color w:val="auto"/>
                <w:sz w:val="24"/>
                <w:szCs w:val="24"/>
                <w:highlight w:val="none"/>
              </w:rPr>
              <w:t>投标报价得分＝（评标基准价/投标报价）×30％×100</w:t>
            </w:r>
          </w:p>
        </w:tc>
      </w:tr>
    </w:tbl>
    <w:p w14:paraId="11581982">
      <w:pPr>
        <w:spacing w:line="360" w:lineRule="auto"/>
        <w:ind w:firstLine="435"/>
        <w:rPr>
          <w:rFonts w:hint="eastAsia" w:asciiTheme="minorEastAsia" w:hAnsiTheme="minorEastAsia" w:eastAsiaTheme="minorEastAsia"/>
          <w:color w:val="auto"/>
          <w:sz w:val="24"/>
          <w:highlight w:val="none"/>
        </w:rPr>
      </w:pPr>
    </w:p>
    <w:p w14:paraId="4A11E00A">
      <w:pPr>
        <w:pStyle w:val="2"/>
        <w:keepNext w:val="0"/>
        <w:keepLines w:val="0"/>
        <w:pageBreakBefore w:val="0"/>
        <w:widowControl w:val="0"/>
        <w:kinsoku/>
        <w:wordWrap/>
        <w:overflowPunct/>
        <w:topLinePunct w:val="0"/>
        <w:autoSpaceDE/>
        <w:autoSpaceDN/>
        <w:bidi w:val="0"/>
        <w:adjustRightInd/>
        <w:snapToGrid/>
        <w:ind w:left="0" w:leftChars="0" w:firstLine="0" w:firstLineChars="0"/>
        <w:textAlignment w:val="auto"/>
        <w:outlineLvl w:val="3"/>
        <w:rPr>
          <w:rFonts w:hint="default" w:cs="@仿宋_GB2312" w:asciiTheme="minorEastAsia" w:hAnsiTheme="minorEastAsia" w:eastAsiaTheme="minorEastAsia"/>
          <w:b w:val="0"/>
          <w:color w:val="auto"/>
          <w:kern w:val="2"/>
          <w:sz w:val="24"/>
          <w:szCs w:val="20"/>
          <w:highlight w:val="none"/>
          <w:lang w:val="en-US" w:eastAsia="zh-CN" w:bidi="ar-SA"/>
        </w:rPr>
      </w:pPr>
      <w:r>
        <w:rPr>
          <w:rFonts w:hint="eastAsia" w:cs="@仿宋_GB2312" w:asciiTheme="minorEastAsia" w:hAnsiTheme="minorEastAsia" w:eastAsiaTheme="minorEastAsia"/>
          <w:b w:val="0"/>
          <w:color w:val="auto"/>
          <w:kern w:val="2"/>
          <w:sz w:val="24"/>
          <w:szCs w:val="20"/>
          <w:highlight w:val="none"/>
          <w:lang w:val="en-US" w:eastAsia="zh-CN" w:bidi="ar-SA"/>
        </w:rPr>
        <w:t>02包：</w:t>
      </w:r>
    </w:p>
    <w:tbl>
      <w:tblPr>
        <w:tblStyle w:val="2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75"/>
        <w:gridCol w:w="1720"/>
        <w:gridCol w:w="3745"/>
        <w:gridCol w:w="1582"/>
      </w:tblGrid>
      <w:tr w14:paraId="45768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865" w:type="pct"/>
            <w:tcBorders>
              <w:top w:val="single" w:color="auto" w:sz="4" w:space="0"/>
              <w:left w:val="single" w:color="auto" w:sz="4" w:space="0"/>
              <w:bottom w:val="single" w:color="auto" w:sz="4" w:space="0"/>
              <w:right w:val="single" w:color="auto" w:sz="4" w:space="0"/>
            </w:tcBorders>
            <w:vAlign w:val="center"/>
          </w:tcPr>
          <w:p w14:paraId="44C2B246">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b/>
                <w:bCs/>
                <w:color w:val="auto"/>
                <w:sz w:val="24"/>
                <w:szCs w:val="24"/>
                <w:highlight w:val="none"/>
              </w:rPr>
              <w:t>类别</w:t>
            </w:r>
          </w:p>
        </w:tc>
        <w:tc>
          <w:tcPr>
            <w:tcW w:w="1009" w:type="pct"/>
            <w:tcBorders>
              <w:top w:val="single" w:color="auto" w:sz="4" w:space="0"/>
              <w:left w:val="nil"/>
              <w:bottom w:val="single" w:color="auto" w:sz="4" w:space="0"/>
              <w:right w:val="single" w:color="auto" w:sz="4" w:space="0"/>
            </w:tcBorders>
            <w:vAlign w:val="center"/>
          </w:tcPr>
          <w:p w14:paraId="4A881FE9">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b/>
                <w:bCs/>
                <w:color w:val="auto"/>
                <w:sz w:val="24"/>
                <w:szCs w:val="24"/>
                <w:highlight w:val="none"/>
              </w:rPr>
              <w:t>评分内容</w:t>
            </w:r>
          </w:p>
        </w:tc>
        <w:tc>
          <w:tcPr>
            <w:tcW w:w="2197" w:type="pct"/>
            <w:tcBorders>
              <w:top w:val="single" w:color="auto" w:sz="4" w:space="0"/>
              <w:left w:val="nil"/>
              <w:bottom w:val="single" w:color="auto" w:sz="4" w:space="0"/>
              <w:right w:val="single" w:color="auto" w:sz="4" w:space="0"/>
            </w:tcBorders>
            <w:vAlign w:val="center"/>
          </w:tcPr>
          <w:p w14:paraId="128A7E44">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b/>
                <w:bCs/>
                <w:color w:val="auto"/>
                <w:sz w:val="24"/>
                <w:szCs w:val="24"/>
                <w:highlight w:val="none"/>
              </w:rPr>
              <w:t>评分标准</w:t>
            </w:r>
          </w:p>
        </w:tc>
        <w:tc>
          <w:tcPr>
            <w:tcW w:w="927" w:type="pct"/>
            <w:tcBorders>
              <w:top w:val="single" w:color="auto" w:sz="4" w:space="0"/>
              <w:left w:val="nil"/>
              <w:bottom w:val="single" w:color="auto" w:sz="4" w:space="0"/>
              <w:right w:val="single" w:color="auto" w:sz="4" w:space="0"/>
            </w:tcBorders>
            <w:vAlign w:val="center"/>
          </w:tcPr>
          <w:p w14:paraId="7543AFCE">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b/>
                <w:bCs/>
                <w:color w:val="auto"/>
                <w:sz w:val="24"/>
                <w:szCs w:val="24"/>
                <w:highlight w:val="none"/>
              </w:rPr>
              <w:t>分值范围</w:t>
            </w:r>
          </w:p>
        </w:tc>
      </w:tr>
      <w:tr w14:paraId="77764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5" w:type="pct"/>
            <w:vMerge w:val="restart"/>
            <w:tcBorders>
              <w:top w:val="nil"/>
              <w:left w:val="single" w:color="auto" w:sz="4" w:space="0"/>
              <w:bottom w:val="single" w:color="auto" w:sz="4" w:space="0"/>
              <w:right w:val="single" w:color="auto" w:sz="4" w:space="0"/>
            </w:tcBorders>
            <w:vAlign w:val="center"/>
          </w:tcPr>
          <w:p w14:paraId="758EAB18">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技术资信分</w:t>
            </w:r>
          </w:p>
          <w:p w14:paraId="0707812D">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u w:val="single"/>
              </w:rPr>
              <w:t>70</w:t>
            </w:r>
            <w:r>
              <w:rPr>
                <w:rFonts w:hint="eastAsia" w:ascii="宋体" w:hAnsi="宋体" w:eastAsia="宋体" w:cs="Times New Roman"/>
                <w:color w:val="auto"/>
                <w:sz w:val="24"/>
                <w:szCs w:val="24"/>
                <w:highlight w:val="none"/>
              </w:rPr>
              <w:t>分）</w:t>
            </w:r>
          </w:p>
        </w:tc>
        <w:tc>
          <w:tcPr>
            <w:tcW w:w="1009" w:type="pct"/>
            <w:tcBorders>
              <w:top w:val="single" w:color="auto" w:sz="4" w:space="0"/>
              <w:left w:val="nil"/>
              <w:bottom w:val="single" w:color="auto" w:sz="4" w:space="0"/>
              <w:right w:val="single" w:color="auto" w:sz="4" w:space="0"/>
            </w:tcBorders>
            <w:vAlign w:val="center"/>
          </w:tcPr>
          <w:p w14:paraId="1A5D11A5">
            <w:pPr>
              <w:spacing w:line="360" w:lineRule="auto"/>
              <w:jc w:val="center"/>
              <w:rPr>
                <w:rFonts w:hint="eastAsia"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产品业绩</w:t>
            </w:r>
          </w:p>
        </w:tc>
        <w:tc>
          <w:tcPr>
            <w:tcW w:w="2197" w:type="pct"/>
            <w:tcBorders>
              <w:top w:val="single" w:color="auto" w:sz="4" w:space="0"/>
              <w:left w:val="nil"/>
              <w:bottom w:val="single" w:color="auto" w:sz="4" w:space="0"/>
              <w:right w:val="single" w:color="auto" w:sz="4" w:space="0"/>
            </w:tcBorders>
            <w:vAlign w:val="center"/>
          </w:tcPr>
          <w:p w14:paraId="23D34111">
            <w:pPr>
              <w:spacing w:line="360" w:lineRule="auto"/>
              <w:rPr>
                <w:rFonts w:hint="eastAsia"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每提供1个自2023年1月1日起（以合同签订时间为准）</w:t>
            </w:r>
            <w:r>
              <w:rPr>
                <w:rFonts w:hint="eastAsia" w:ascii="宋体" w:hAnsi="宋体" w:eastAsia="宋体" w:cs="Times New Roman"/>
                <w:bCs/>
                <w:color w:val="auto"/>
                <w:sz w:val="24"/>
                <w:szCs w:val="24"/>
                <w:highlight w:val="none"/>
              </w:rPr>
              <w:t>核心产品</w:t>
            </w:r>
            <w:r>
              <w:rPr>
                <w:rFonts w:hint="eastAsia" w:ascii="宋体" w:hAnsi="宋体" w:eastAsia="宋体" w:cs="Times New Roman"/>
                <w:bCs/>
                <w:color w:val="auto"/>
                <w:sz w:val="24"/>
                <w:szCs w:val="24"/>
                <w:highlight w:val="none"/>
              </w:rPr>
              <w:t>为医疗机构供货的业绩，得2分，满分</w:t>
            </w:r>
            <w:r>
              <w:rPr>
                <w:rFonts w:hint="eastAsia" w:ascii="宋体" w:hAnsi="宋体" w:eastAsia="宋体" w:cs="Times New Roman"/>
                <w:bCs/>
                <w:color w:val="auto"/>
                <w:sz w:val="24"/>
                <w:szCs w:val="24"/>
                <w:highlight w:val="none"/>
                <w:lang w:val="en-US" w:eastAsia="zh-CN"/>
              </w:rPr>
              <w:t>4</w:t>
            </w:r>
            <w:r>
              <w:rPr>
                <w:rFonts w:hint="eastAsia" w:ascii="宋体" w:hAnsi="宋体" w:eastAsia="宋体" w:cs="Times New Roman"/>
                <w:bCs/>
                <w:color w:val="auto"/>
                <w:sz w:val="24"/>
                <w:szCs w:val="24"/>
                <w:highlight w:val="none"/>
              </w:rPr>
              <w:t>分。</w:t>
            </w:r>
          </w:p>
          <w:p w14:paraId="301AE9C5">
            <w:pPr>
              <w:spacing w:line="360" w:lineRule="auto"/>
              <w:rPr>
                <w:rFonts w:hint="eastAsia"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注：（1）提供合同扫描件（体现合同签订时间、核心产品、合同甲方等评审因素；业绩合同乙方主体不限，合同甲方主体须为医疗机构）；（2）如上述业绩证明材料不能体现相应评审因素，需同时提供业绩合同甲方（或合同业主）盖章证明材料，否则不得分。</w:t>
            </w:r>
          </w:p>
        </w:tc>
        <w:tc>
          <w:tcPr>
            <w:tcW w:w="927" w:type="pct"/>
            <w:tcBorders>
              <w:top w:val="single" w:color="auto" w:sz="4" w:space="0"/>
              <w:left w:val="nil"/>
              <w:bottom w:val="single" w:color="auto" w:sz="4" w:space="0"/>
              <w:right w:val="single" w:color="auto" w:sz="4" w:space="0"/>
            </w:tcBorders>
            <w:vAlign w:val="center"/>
          </w:tcPr>
          <w:p w14:paraId="6C7F4642">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0-</w:t>
            </w:r>
            <w:r>
              <w:rPr>
                <w:rFonts w:hint="eastAsia" w:ascii="宋体" w:hAnsi="宋体" w:eastAsia="宋体" w:cs="Times New Roman"/>
                <w:color w:val="auto"/>
                <w:sz w:val="24"/>
                <w:szCs w:val="24"/>
                <w:highlight w:val="none"/>
                <w:lang w:val="en-US" w:eastAsia="zh-CN"/>
              </w:rPr>
              <w:t>4</w:t>
            </w:r>
            <w:r>
              <w:rPr>
                <w:rFonts w:hint="eastAsia" w:ascii="宋体" w:hAnsi="宋体" w:eastAsia="宋体" w:cs="Times New Roman"/>
                <w:color w:val="auto"/>
                <w:sz w:val="24"/>
                <w:szCs w:val="24"/>
                <w:highlight w:val="none"/>
              </w:rPr>
              <w:t>分</w:t>
            </w:r>
          </w:p>
        </w:tc>
      </w:tr>
      <w:tr w14:paraId="0CFFE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nil"/>
              <w:left w:val="single" w:color="auto" w:sz="4" w:space="0"/>
              <w:bottom w:val="single" w:color="auto" w:sz="4" w:space="0"/>
              <w:right w:val="single" w:color="auto" w:sz="4" w:space="0"/>
            </w:tcBorders>
            <w:vAlign w:val="center"/>
          </w:tcPr>
          <w:p w14:paraId="3B516EAC">
            <w:pPr>
              <w:widowControl/>
              <w:jc w:val="left"/>
              <w:rPr>
                <w:rFonts w:hint="eastAsia" w:ascii="宋体" w:hAnsi="宋体" w:eastAsia="宋体" w:cs="Times New Roman"/>
                <w:b/>
                <w:bCs/>
                <w:color w:val="auto"/>
                <w:sz w:val="24"/>
                <w:szCs w:val="24"/>
                <w:highlight w:val="none"/>
              </w:rPr>
            </w:pPr>
          </w:p>
        </w:tc>
        <w:tc>
          <w:tcPr>
            <w:tcW w:w="1009" w:type="pct"/>
            <w:tcBorders>
              <w:top w:val="single" w:color="auto" w:sz="4" w:space="0"/>
              <w:left w:val="nil"/>
              <w:bottom w:val="single" w:color="auto" w:sz="4" w:space="0"/>
              <w:right w:val="single" w:color="auto" w:sz="4" w:space="0"/>
            </w:tcBorders>
            <w:vAlign w:val="center"/>
          </w:tcPr>
          <w:p w14:paraId="6031E3FE">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技术参数及要求响应情况</w:t>
            </w:r>
          </w:p>
        </w:tc>
        <w:tc>
          <w:tcPr>
            <w:tcW w:w="2197" w:type="pct"/>
            <w:tcBorders>
              <w:top w:val="single" w:color="auto" w:sz="4" w:space="0"/>
              <w:left w:val="nil"/>
              <w:bottom w:val="single" w:color="auto" w:sz="4" w:space="0"/>
              <w:right w:val="single" w:color="auto" w:sz="4" w:space="0"/>
            </w:tcBorders>
            <w:vAlign w:val="center"/>
          </w:tcPr>
          <w:p w14:paraId="0F12CA67">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根据投标人对招标文件的《第三章 采购需求》中“二、货物需求一览表”的技术参数及要求响应情况进行评分：</w:t>
            </w:r>
          </w:p>
          <w:p w14:paraId="1CEA0FAB">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（1）标注“</w:t>
            </w:r>
            <w:r>
              <w:rPr>
                <w:rFonts w:hint="eastAsia" w:ascii="宋体" w:hAnsi="宋体" w:eastAsia="宋体" w:cs="Times New Roman"/>
                <w:color w:val="auto"/>
                <w:sz w:val="24"/>
                <w:szCs w:val="24"/>
                <w:highlight w:val="none"/>
                <w:lang w:val="en-US" w:eastAsia="zh-CN"/>
              </w:rPr>
              <w:t>★</w:t>
            </w:r>
            <w:r>
              <w:rPr>
                <w:rFonts w:hint="eastAsia" w:ascii="宋体" w:hAnsi="宋体" w:eastAsia="宋体" w:cs="Times New Roman"/>
                <w:color w:val="auto"/>
                <w:sz w:val="24"/>
                <w:szCs w:val="24"/>
                <w:highlight w:val="none"/>
              </w:rPr>
              <w:t>”的技术参数，存在负偏离的投标将被否决。</w:t>
            </w:r>
          </w:p>
          <w:p w14:paraId="777166A4">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lang w:val="en-US" w:eastAsia="zh-CN"/>
              </w:rPr>
              <w:t>2</w:t>
            </w:r>
            <w:r>
              <w:rPr>
                <w:rFonts w:hint="eastAsia" w:ascii="宋体" w:hAnsi="宋体" w:eastAsia="宋体" w:cs="Times New Roman"/>
                <w:color w:val="auto"/>
                <w:sz w:val="24"/>
                <w:szCs w:val="24"/>
                <w:highlight w:val="none"/>
              </w:rPr>
              <w:t>）标注“▲”的技术参数，每一项负偏离扣2分，</w:t>
            </w:r>
            <w:r>
              <w:rPr>
                <w:rFonts w:hint="eastAsia" w:ascii="宋体" w:hAnsi="宋体" w:eastAsia="宋体" w:cs="Times New Roman"/>
                <w:color w:val="auto"/>
                <w:sz w:val="24"/>
                <w:szCs w:val="24"/>
                <w:highlight w:val="none"/>
                <w:lang w:val="en-US" w:eastAsia="zh-CN"/>
              </w:rPr>
              <w:t>10</w:t>
            </w:r>
            <w:r>
              <w:rPr>
                <w:rFonts w:hint="eastAsia" w:ascii="宋体" w:hAnsi="宋体" w:eastAsia="宋体" w:cs="Times New Roman"/>
                <w:color w:val="auto"/>
                <w:sz w:val="24"/>
                <w:szCs w:val="24"/>
                <w:highlight w:val="none"/>
              </w:rPr>
              <w:t>项（不含）以上存在负偏离的投标将被否决，本小项满分</w:t>
            </w:r>
            <w:r>
              <w:rPr>
                <w:rFonts w:hint="eastAsia" w:ascii="宋体" w:hAnsi="宋体" w:eastAsia="宋体" w:cs="Times New Roman"/>
                <w:color w:val="auto"/>
                <w:sz w:val="24"/>
                <w:szCs w:val="24"/>
                <w:highlight w:val="none"/>
                <w:lang w:val="en-US" w:eastAsia="zh-CN"/>
              </w:rPr>
              <w:t>20</w:t>
            </w:r>
            <w:r>
              <w:rPr>
                <w:rFonts w:hint="eastAsia" w:ascii="宋体" w:hAnsi="宋体" w:eastAsia="宋体" w:cs="Times New Roman"/>
                <w:color w:val="auto"/>
                <w:sz w:val="24"/>
                <w:szCs w:val="24"/>
                <w:highlight w:val="none"/>
              </w:rPr>
              <w:t>分。</w:t>
            </w:r>
          </w:p>
          <w:p w14:paraId="7FFF29B5">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（2）未标注“▲”的技术参数要求，每一项负偏离扣1分，</w:t>
            </w:r>
            <w:r>
              <w:rPr>
                <w:rFonts w:hint="eastAsia" w:ascii="宋体" w:hAnsi="宋体" w:eastAsia="宋体" w:cs="Times New Roman"/>
                <w:color w:val="auto"/>
                <w:sz w:val="24"/>
                <w:szCs w:val="24"/>
                <w:highlight w:val="none"/>
                <w:lang w:val="en-US" w:eastAsia="zh-CN"/>
              </w:rPr>
              <w:t>21</w:t>
            </w:r>
            <w:r>
              <w:rPr>
                <w:rFonts w:hint="eastAsia" w:ascii="宋体" w:hAnsi="宋体" w:eastAsia="宋体" w:cs="Times New Roman"/>
                <w:color w:val="auto"/>
                <w:sz w:val="24"/>
                <w:szCs w:val="24"/>
                <w:highlight w:val="none"/>
              </w:rPr>
              <w:t>项（不含）以上存在负偏离的投标将被否决，本小项满分</w:t>
            </w:r>
            <w:r>
              <w:rPr>
                <w:rFonts w:hint="eastAsia" w:ascii="宋体" w:hAnsi="宋体" w:eastAsia="宋体" w:cs="Times New Roman"/>
                <w:color w:val="auto"/>
                <w:sz w:val="24"/>
                <w:szCs w:val="24"/>
                <w:highlight w:val="none"/>
                <w:lang w:val="en-US" w:eastAsia="zh-CN"/>
              </w:rPr>
              <w:t>21</w:t>
            </w:r>
            <w:r>
              <w:rPr>
                <w:rFonts w:hint="eastAsia" w:ascii="宋体" w:hAnsi="宋体" w:eastAsia="宋体" w:cs="Times New Roman"/>
                <w:color w:val="auto"/>
                <w:sz w:val="24"/>
                <w:szCs w:val="24"/>
                <w:highlight w:val="none"/>
              </w:rPr>
              <w:t>分。</w:t>
            </w:r>
          </w:p>
          <w:p w14:paraId="33AAE0AB">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注：以投标响应表中的技术响应表和采购需求中要求提供的证明材料作为评审依据。</w:t>
            </w:r>
          </w:p>
        </w:tc>
        <w:tc>
          <w:tcPr>
            <w:tcW w:w="927" w:type="pct"/>
            <w:tcBorders>
              <w:top w:val="single" w:color="auto" w:sz="4" w:space="0"/>
              <w:left w:val="nil"/>
              <w:bottom w:val="single" w:color="auto" w:sz="4" w:space="0"/>
              <w:right w:val="single" w:color="auto" w:sz="4" w:space="0"/>
            </w:tcBorders>
            <w:vAlign w:val="center"/>
          </w:tcPr>
          <w:p w14:paraId="604C1F79">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color w:val="auto"/>
                <w:sz w:val="24"/>
                <w:szCs w:val="24"/>
                <w:highlight w:val="none"/>
              </w:rPr>
              <w:t>0-</w:t>
            </w:r>
            <w:r>
              <w:rPr>
                <w:rFonts w:hint="eastAsia" w:ascii="宋体" w:hAnsi="宋体" w:eastAsia="宋体" w:cs="Times New Roman"/>
                <w:color w:val="auto"/>
                <w:sz w:val="24"/>
                <w:szCs w:val="24"/>
                <w:highlight w:val="none"/>
                <w:lang w:val="en-US" w:eastAsia="zh-CN"/>
              </w:rPr>
              <w:t>41</w:t>
            </w:r>
            <w:r>
              <w:rPr>
                <w:rFonts w:hint="eastAsia" w:ascii="宋体" w:hAnsi="宋体" w:eastAsia="宋体" w:cs="Times New Roman"/>
                <w:color w:val="auto"/>
                <w:sz w:val="24"/>
                <w:szCs w:val="24"/>
                <w:highlight w:val="none"/>
              </w:rPr>
              <w:t>分</w:t>
            </w:r>
          </w:p>
        </w:tc>
      </w:tr>
      <w:tr w14:paraId="354F4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nil"/>
              <w:left w:val="single" w:color="auto" w:sz="4" w:space="0"/>
              <w:bottom w:val="single" w:color="auto" w:sz="4" w:space="0"/>
              <w:right w:val="single" w:color="auto" w:sz="4" w:space="0"/>
            </w:tcBorders>
            <w:vAlign w:val="center"/>
          </w:tcPr>
          <w:p w14:paraId="28896878">
            <w:pPr>
              <w:widowControl/>
              <w:jc w:val="left"/>
              <w:rPr>
                <w:rFonts w:hint="eastAsia" w:ascii="宋体" w:hAnsi="宋体" w:eastAsia="宋体" w:cs="Times New Roman"/>
                <w:b/>
                <w:bCs/>
                <w:color w:val="auto"/>
                <w:sz w:val="24"/>
                <w:szCs w:val="24"/>
                <w:highlight w:val="none"/>
              </w:rPr>
            </w:pPr>
          </w:p>
        </w:tc>
        <w:tc>
          <w:tcPr>
            <w:tcW w:w="1009" w:type="pct"/>
            <w:tcBorders>
              <w:top w:val="single" w:color="auto" w:sz="4" w:space="0"/>
              <w:left w:val="nil"/>
              <w:bottom w:val="single" w:color="auto" w:sz="4" w:space="0"/>
              <w:right w:val="single" w:color="auto" w:sz="4" w:space="0"/>
            </w:tcBorders>
            <w:vAlign w:val="center"/>
          </w:tcPr>
          <w:p w14:paraId="4628B37E">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项目重难点的应对措施</w:t>
            </w:r>
          </w:p>
        </w:tc>
        <w:tc>
          <w:tcPr>
            <w:tcW w:w="2197" w:type="pct"/>
            <w:tcBorders>
              <w:top w:val="single" w:color="auto" w:sz="4" w:space="0"/>
              <w:left w:val="nil"/>
              <w:bottom w:val="single" w:color="auto" w:sz="4" w:space="0"/>
              <w:right w:val="single" w:color="auto" w:sz="4" w:space="0"/>
            </w:tcBorders>
            <w:vAlign w:val="center"/>
          </w:tcPr>
          <w:p w14:paraId="57A24D64">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评标委员会根据招标文件要求及投标人提供的项目重难点应对措施，进行综合评分：</w:t>
            </w:r>
          </w:p>
          <w:p w14:paraId="4E2B53D4">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（1）措施完整详细，可行性、实用性、针对性较强，优于本项目采购需求的，得5分。</w:t>
            </w:r>
          </w:p>
          <w:p w14:paraId="645399FA">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（2）措施基本完整，具有可行性、实用性、针对性，适合本项目采购需求的，得3分。</w:t>
            </w:r>
          </w:p>
          <w:p w14:paraId="6DA9BE88">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（3）措施有待提升，可行性、实用性、针对性有待完善，基本适合本项目采购需求的，得1分。</w:t>
            </w:r>
          </w:p>
          <w:p w14:paraId="0EF80892">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（4）方案不可行或未提供的，得0分。</w:t>
            </w:r>
          </w:p>
        </w:tc>
        <w:tc>
          <w:tcPr>
            <w:tcW w:w="927" w:type="pct"/>
            <w:tcBorders>
              <w:top w:val="single" w:color="auto" w:sz="4" w:space="0"/>
              <w:left w:val="nil"/>
              <w:bottom w:val="single" w:color="auto" w:sz="4" w:space="0"/>
              <w:right w:val="single" w:color="auto" w:sz="4" w:space="0"/>
            </w:tcBorders>
            <w:vAlign w:val="center"/>
          </w:tcPr>
          <w:p w14:paraId="056C6299">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color w:val="auto"/>
                <w:sz w:val="24"/>
                <w:szCs w:val="24"/>
                <w:highlight w:val="none"/>
              </w:rPr>
              <w:t>0-5分</w:t>
            </w:r>
          </w:p>
        </w:tc>
      </w:tr>
      <w:tr w14:paraId="67561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nil"/>
              <w:left w:val="single" w:color="auto" w:sz="4" w:space="0"/>
              <w:bottom w:val="single" w:color="auto" w:sz="4" w:space="0"/>
              <w:right w:val="single" w:color="auto" w:sz="4" w:space="0"/>
            </w:tcBorders>
            <w:vAlign w:val="center"/>
          </w:tcPr>
          <w:p w14:paraId="74AD1E8A">
            <w:pPr>
              <w:widowControl/>
              <w:jc w:val="left"/>
              <w:rPr>
                <w:rFonts w:hint="eastAsia" w:ascii="宋体" w:hAnsi="宋体" w:eastAsia="宋体" w:cs="Times New Roman"/>
                <w:b/>
                <w:bCs/>
                <w:color w:val="auto"/>
                <w:sz w:val="24"/>
                <w:szCs w:val="24"/>
                <w:highlight w:val="none"/>
              </w:rPr>
            </w:pPr>
          </w:p>
        </w:tc>
        <w:tc>
          <w:tcPr>
            <w:tcW w:w="1009" w:type="pct"/>
            <w:tcBorders>
              <w:top w:val="single" w:color="auto" w:sz="4" w:space="0"/>
              <w:left w:val="nil"/>
              <w:bottom w:val="single" w:color="auto" w:sz="4" w:space="0"/>
              <w:right w:val="single" w:color="auto" w:sz="4" w:space="0"/>
            </w:tcBorders>
            <w:vAlign w:val="center"/>
          </w:tcPr>
          <w:p w14:paraId="5EFE6F6E">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供货方案</w:t>
            </w:r>
          </w:p>
        </w:tc>
        <w:tc>
          <w:tcPr>
            <w:tcW w:w="2197" w:type="pct"/>
            <w:tcBorders>
              <w:top w:val="single" w:color="auto" w:sz="4" w:space="0"/>
              <w:left w:val="nil"/>
              <w:bottom w:val="single" w:color="auto" w:sz="4" w:space="0"/>
              <w:right w:val="single" w:color="auto" w:sz="4" w:space="0"/>
            </w:tcBorders>
            <w:vAlign w:val="center"/>
          </w:tcPr>
          <w:p w14:paraId="03F938A6">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评标委员会根据招标文件要求及投标人提供的供货方案</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lang w:val="en-US" w:eastAsia="zh-CN"/>
              </w:rPr>
              <w:t>包含但不限于供货计划、物流运输方案、核心部件安全防护措施、到货验收流程等</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，进行综合评分：</w:t>
            </w:r>
          </w:p>
          <w:p w14:paraId="1D4B186A">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（1）方案全面，组织架构科学，人员配置合理，响应时间快，可行性、实用性、针对性较强，优于本项目采购需求的，得5分。</w:t>
            </w:r>
          </w:p>
          <w:p w14:paraId="5E7997DC">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（2）方案较全面，组织架构较合理，人员配置较合理，响应时间较快，具有可行性、实用性、针对性，适合本项目采购需求的，得3分。</w:t>
            </w:r>
          </w:p>
          <w:p w14:paraId="37988660">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（3）方案有待提升，可行性、实用性、针对性有待完善，基本适合本项目采购需求的，得1分。</w:t>
            </w:r>
          </w:p>
          <w:p w14:paraId="668DFB8F">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（4）方案不可行或未提供的，得0分。</w:t>
            </w:r>
          </w:p>
        </w:tc>
        <w:tc>
          <w:tcPr>
            <w:tcW w:w="927" w:type="pct"/>
            <w:tcBorders>
              <w:top w:val="single" w:color="auto" w:sz="4" w:space="0"/>
              <w:left w:val="nil"/>
              <w:bottom w:val="single" w:color="auto" w:sz="4" w:space="0"/>
              <w:right w:val="single" w:color="auto" w:sz="4" w:space="0"/>
            </w:tcBorders>
            <w:vAlign w:val="center"/>
          </w:tcPr>
          <w:p w14:paraId="6F434BAC">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0-5分</w:t>
            </w:r>
          </w:p>
        </w:tc>
      </w:tr>
      <w:tr w14:paraId="37EAC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nil"/>
              <w:left w:val="single" w:color="auto" w:sz="4" w:space="0"/>
              <w:bottom w:val="single" w:color="auto" w:sz="4" w:space="0"/>
              <w:right w:val="single" w:color="auto" w:sz="4" w:space="0"/>
            </w:tcBorders>
            <w:vAlign w:val="center"/>
          </w:tcPr>
          <w:p w14:paraId="7760B7C2">
            <w:pPr>
              <w:widowControl/>
              <w:jc w:val="left"/>
              <w:rPr>
                <w:rFonts w:hint="eastAsia" w:ascii="宋体" w:hAnsi="宋体" w:eastAsia="宋体" w:cs="Times New Roman"/>
                <w:b/>
                <w:bCs/>
                <w:color w:val="auto"/>
                <w:sz w:val="24"/>
                <w:szCs w:val="24"/>
                <w:highlight w:val="none"/>
              </w:rPr>
            </w:pPr>
          </w:p>
        </w:tc>
        <w:tc>
          <w:tcPr>
            <w:tcW w:w="1009" w:type="pct"/>
            <w:tcBorders>
              <w:top w:val="single" w:color="auto" w:sz="4" w:space="0"/>
              <w:left w:val="nil"/>
              <w:bottom w:val="single" w:color="auto" w:sz="4" w:space="0"/>
              <w:right w:val="single" w:color="auto" w:sz="4" w:space="0"/>
            </w:tcBorders>
            <w:vAlign w:val="center"/>
          </w:tcPr>
          <w:p w14:paraId="644F6402">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安装调试方案</w:t>
            </w:r>
          </w:p>
        </w:tc>
        <w:tc>
          <w:tcPr>
            <w:tcW w:w="2197" w:type="pct"/>
            <w:tcBorders>
              <w:top w:val="single" w:color="auto" w:sz="4" w:space="0"/>
              <w:left w:val="nil"/>
              <w:bottom w:val="single" w:color="auto" w:sz="4" w:space="0"/>
              <w:right w:val="single" w:color="auto" w:sz="4" w:space="0"/>
            </w:tcBorders>
            <w:vAlign w:val="center"/>
          </w:tcPr>
          <w:p w14:paraId="2C69AAB6">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评标委员会根据投标人提供的安装调试方案</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lang w:val="en-US" w:eastAsia="zh-CN"/>
              </w:rPr>
              <w:t>包含但不限于安装进度计划、系统调试流程、图像质量标准、试运行及验收交付方案等等</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进行综合评分：</w:t>
            </w:r>
          </w:p>
          <w:p w14:paraId="6AB25A19">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（1）安装调试过程中提供充足的备品备件、辅材，能够在规定时间内完成安装调试任务，优于本项目采购需求的，得5分；</w:t>
            </w:r>
          </w:p>
          <w:p w14:paraId="1E0E3184">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（2）供货安装过程中提供的备品备件、辅材预留情况基本满足项目需求，能够在规定时间内完成安装调试任务，适合本项目采购需求的，得3分；</w:t>
            </w:r>
          </w:p>
          <w:p w14:paraId="4B88486B">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（3）供货安装过程中提供的备品备件、辅材预留情况有待完善，能够在规定时间内完成安装调试任务的，得1分；</w:t>
            </w:r>
          </w:p>
          <w:p w14:paraId="0BFD2FAA">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（4）方案不可行或者未提供，得0分。</w:t>
            </w:r>
          </w:p>
        </w:tc>
        <w:tc>
          <w:tcPr>
            <w:tcW w:w="927" w:type="pct"/>
            <w:tcBorders>
              <w:top w:val="single" w:color="auto" w:sz="4" w:space="0"/>
              <w:left w:val="nil"/>
              <w:bottom w:val="single" w:color="auto" w:sz="4" w:space="0"/>
              <w:right w:val="single" w:color="auto" w:sz="4" w:space="0"/>
            </w:tcBorders>
            <w:vAlign w:val="center"/>
          </w:tcPr>
          <w:p w14:paraId="014E274D">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0-5分</w:t>
            </w:r>
          </w:p>
        </w:tc>
      </w:tr>
      <w:tr w14:paraId="6963E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nil"/>
              <w:left w:val="single" w:color="auto" w:sz="4" w:space="0"/>
              <w:bottom w:val="single" w:color="auto" w:sz="4" w:space="0"/>
              <w:right w:val="single" w:color="auto" w:sz="4" w:space="0"/>
            </w:tcBorders>
            <w:vAlign w:val="center"/>
          </w:tcPr>
          <w:p w14:paraId="1C1D74BD">
            <w:pPr>
              <w:widowControl/>
              <w:jc w:val="left"/>
              <w:rPr>
                <w:rFonts w:hint="eastAsia" w:ascii="宋体" w:hAnsi="宋体" w:eastAsia="宋体" w:cs="Times New Roman"/>
                <w:b/>
                <w:bCs/>
                <w:color w:val="auto"/>
                <w:sz w:val="24"/>
                <w:szCs w:val="24"/>
                <w:highlight w:val="none"/>
              </w:rPr>
            </w:pPr>
          </w:p>
        </w:tc>
        <w:tc>
          <w:tcPr>
            <w:tcW w:w="1009" w:type="pct"/>
            <w:tcBorders>
              <w:top w:val="single" w:color="auto" w:sz="4" w:space="0"/>
              <w:left w:val="nil"/>
              <w:bottom w:val="single" w:color="auto" w:sz="4" w:space="0"/>
              <w:right w:val="single" w:color="auto" w:sz="4" w:space="0"/>
            </w:tcBorders>
            <w:vAlign w:val="center"/>
          </w:tcPr>
          <w:p w14:paraId="332D7564">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售后服务方案</w:t>
            </w:r>
          </w:p>
        </w:tc>
        <w:tc>
          <w:tcPr>
            <w:tcW w:w="2197" w:type="pct"/>
            <w:tcBorders>
              <w:top w:val="single" w:color="auto" w:sz="4" w:space="0"/>
              <w:left w:val="nil"/>
              <w:bottom w:val="single" w:color="auto" w:sz="4" w:space="0"/>
              <w:right w:val="single" w:color="auto" w:sz="4" w:space="0"/>
            </w:tcBorders>
            <w:vAlign w:val="center"/>
          </w:tcPr>
          <w:p w14:paraId="1CA896B2">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评标委员会根据招标文件要求及投标人提供的售后服务方案</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lang w:val="en-US" w:eastAsia="zh-CN"/>
              </w:rPr>
              <w:t>包含但不限于</w:t>
            </w:r>
            <w:r>
              <w:rPr>
                <w:rFonts w:hint="eastAsia" w:ascii="宋体" w:hAnsi="宋体" w:eastAsia="宋体" w:cs="Times New Roman"/>
                <w:color w:val="auto"/>
                <w:sz w:val="24"/>
                <w:szCs w:val="24"/>
                <w:highlight w:val="none"/>
                <w:lang w:eastAsia="zh-CN"/>
              </w:rPr>
              <w:t>质保期限、响应时间、备件供应、开机率承诺、软件升级及培训计划</w:t>
            </w:r>
            <w:r>
              <w:rPr>
                <w:rFonts w:hint="eastAsia" w:ascii="宋体" w:hAnsi="宋体" w:eastAsia="宋体" w:cs="Times New Roman"/>
                <w:color w:val="auto"/>
                <w:sz w:val="24"/>
                <w:szCs w:val="24"/>
                <w:highlight w:val="none"/>
                <w:lang w:val="en-US" w:eastAsia="zh-CN"/>
              </w:rPr>
              <w:t>等</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，进行综合评分：</w:t>
            </w:r>
          </w:p>
          <w:p w14:paraId="2C4A066D">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（1）具有完善的售后服务计划、措施，技术支持快速及时，培训方案完整详细，可行性、实用性、针对性较强，优于本项目采购需求的，得5分；</w:t>
            </w:r>
          </w:p>
          <w:p w14:paraId="7149595C">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（2）售后服务计划、措施基本完善，培训内容基本详实，技术支持及时，培训方案基本完整，具有可行性、实用性、针对性，能够保障本项目采购需求的，得3分；</w:t>
            </w:r>
          </w:p>
          <w:p w14:paraId="5180208A">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（3）售后服务方案、培训方案有待提升，可行性、实用性、针对性有待完善，基本保障本项目采购需求的，得1分；</w:t>
            </w:r>
          </w:p>
          <w:p w14:paraId="6676C812">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（4）方案不可行或未提供的得0分。</w:t>
            </w:r>
          </w:p>
        </w:tc>
        <w:tc>
          <w:tcPr>
            <w:tcW w:w="927" w:type="pct"/>
            <w:tcBorders>
              <w:top w:val="single" w:color="auto" w:sz="4" w:space="0"/>
              <w:left w:val="nil"/>
              <w:bottom w:val="single" w:color="auto" w:sz="4" w:space="0"/>
              <w:right w:val="single" w:color="auto" w:sz="4" w:space="0"/>
            </w:tcBorders>
            <w:vAlign w:val="center"/>
          </w:tcPr>
          <w:p w14:paraId="0AF90884">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0-5分</w:t>
            </w:r>
          </w:p>
        </w:tc>
      </w:tr>
      <w:tr w14:paraId="1E7F8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nil"/>
              <w:left w:val="single" w:color="auto" w:sz="4" w:space="0"/>
              <w:bottom w:val="single" w:color="auto" w:sz="4" w:space="0"/>
              <w:right w:val="single" w:color="auto" w:sz="4" w:space="0"/>
            </w:tcBorders>
            <w:vAlign w:val="center"/>
          </w:tcPr>
          <w:p w14:paraId="01666E98">
            <w:pPr>
              <w:widowControl/>
              <w:jc w:val="left"/>
              <w:rPr>
                <w:rFonts w:hint="eastAsia" w:ascii="宋体" w:hAnsi="宋体" w:eastAsia="宋体" w:cs="Times New Roman"/>
                <w:b/>
                <w:bCs/>
                <w:color w:val="auto"/>
                <w:sz w:val="24"/>
                <w:szCs w:val="24"/>
                <w:highlight w:val="none"/>
              </w:rPr>
            </w:pPr>
          </w:p>
        </w:tc>
        <w:tc>
          <w:tcPr>
            <w:tcW w:w="1009" w:type="pct"/>
            <w:tcBorders>
              <w:top w:val="single" w:color="auto" w:sz="4" w:space="0"/>
              <w:left w:val="nil"/>
              <w:bottom w:val="single" w:color="auto" w:sz="4" w:space="0"/>
              <w:right w:val="single" w:color="auto" w:sz="4" w:space="0"/>
            </w:tcBorders>
            <w:vAlign w:val="center"/>
          </w:tcPr>
          <w:p w14:paraId="03E44F5A">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优惠承诺及增值服务</w:t>
            </w:r>
          </w:p>
        </w:tc>
        <w:tc>
          <w:tcPr>
            <w:tcW w:w="2197" w:type="pct"/>
            <w:tcBorders>
              <w:top w:val="single" w:color="auto" w:sz="4" w:space="0"/>
              <w:left w:val="nil"/>
              <w:bottom w:val="single" w:color="auto" w:sz="4" w:space="0"/>
              <w:right w:val="single" w:color="auto" w:sz="4" w:space="0"/>
            </w:tcBorders>
            <w:vAlign w:val="center"/>
          </w:tcPr>
          <w:p w14:paraId="4274EF90">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评标委员根据投标人提供的优惠承诺及增值服务对于采购人的实际经济效益进行评审：</w:t>
            </w:r>
          </w:p>
          <w:p w14:paraId="1E8B6BCF">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（1）有具体优惠条件及增值服务，且优惠条件及增值服务实用性强，实际价值高的，得5分；</w:t>
            </w:r>
          </w:p>
          <w:p w14:paraId="5B819410">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（2）有具体的优惠条件及增值服务，且优惠条件及增值服务具有实用性的，得3分；</w:t>
            </w:r>
          </w:p>
          <w:p w14:paraId="68A4B597">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（3）有优惠条件及增值服务，实用性有待提升的，得1分；</w:t>
            </w:r>
          </w:p>
          <w:p w14:paraId="2FBA943E">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（4）未提供的，得0分。</w:t>
            </w:r>
          </w:p>
        </w:tc>
        <w:tc>
          <w:tcPr>
            <w:tcW w:w="927" w:type="pct"/>
            <w:tcBorders>
              <w:top w:val="single" w:color="auto" w:sz="4" w:space="0"/>
              <w:left w:val="nil"/>
              <w:bottom w:val="single" w:color="auto" w:sz="4" w:space="0"/>
              <w:right w:val="single" w:color="auto" w:sz="4" w:space="0"/>
            </w:tcBorders>
            <w:vAlign w:val="center"/>
          </w:tcPr>
          <w:p w14:paraId="40FE3977">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color w:val="auto"/>
                <w:sz w:val="24"/>
                <w:szCs w:val="24"/>
                <w:highlight w:val="none"/>
              </w:rPr>
              <w:t>0-5分</w:t>
            </w:r>
          </w:p>
        </w:tc>
      </w:tr>
      <w:tr w14:paraId="49D3B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5" w:type="pct"/>
            <w:tcBorders>
              <w:top w:val="single" w:color="auto" w:sz="4" w:space="0"/>
              <w:left w:val="single" w:color="auto" w:sz="4" w:space="0"/>
              <w:bottom w:val="single" w:color="auto" w:sz="4" w:space="0"/>
              <w:right w:val="single" w:color="auto" w:sz="4" w:space="0"/>
            </w:tcBorders>
            <w:vAlign w:val="center"/>
          </w:tcPr>
          <w:p w14:paraId="50D0CB62">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价格分</w:t>
            </w:r>
          </w:p>
          <w:p w14:paraId="7935ED36">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u w:val="single"/>
              </w:rPr>
              <w:t>30</w:t>
            </w:r>
            <w:r>
              <w:rPr>
                <w:rFonts w:hint="eastAsia" w:ascii="宋体" w:hAnsi="宋体" w:eastAsia="宋体" w:cs="Times New Roman"/>
                <w:color w:val="auto"/>
                <w:sz w:val="24"/>
                <w:szCs w:val="24"/>
                <w:highlight w:val="none"/>
              </w:rPr>
              <w:t>分）</w:t>
            </w:r>
          </w:p>
        </w:tc>
        <w:tc>
          <w:tcPr>
            <w:tcW w:w="4134" w:type="pct"/>
            <w:gridSpan w:val="3"/>
            <w:tcBorders>
              <w:top w:val="single" w:color="auto" w:sz="4" w:space="0"/>
              <w:left w:val="nil"/>
              <w:bottom w:val="single" w:color="auto" w:sz="4" w:space="0"/>
              <w:right w:val="single" w:color="auto" w:sz="4" w:space="0"/>
            </w:tcBorders>
            <w:vAlign w:val="center"/>
          </w:tcPr>
          <w:p w14:paraId="1533BE2C">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价格分统一采用低价优先法，即满足招标文件要求且投标价格最低的投标报价为评标基准价，其价格分为满分30分。其他投标人的价格分统一按照下列公式计算：</w:t>
            </w:r>
          </w:p>
          <w:p w14:paraId="0CDCB834">
            <w:pPr>
              <w:spacing w:line="360" w:lineRule="auto"/>
              <w:rPr>
                <w:rFonts w:hint="eastAsia" w:ascii="宋体" w:hAnsi="宋体" w:eastAsia="宋体" w:cs="Times New Roman"/>
                <w:b/>
                <w:bCs/>
                <w:color w:val="auto"/>
                <w:sz w:val="24"/>
                <w:szCs w:val="24"/>
                <w:highlight w:val="none"/>
              </w:rPr>
            </w:pPr>
            <w:r>
              <w:rPr>
                <w:rFonts w:hint="eastAsia" w:ascii="宋体" w:hAnsi="宋体" w:eastAsia="宋体" w:cs="Times New Roman"/>
                <w:color w:val="auto"/>
                <w:sz w:val="24"/>
                <w:szCs w:val="24"/>
                <w:highlight w:val="none"/>
              </w:rPr>
              <w:t>投标报价得分＝（评标基准价/投标报价）×30％×100</w:t>
            </w:r>
          </w:p>
        </w:tc>
      </w:tr>
    </w:tbl>
    <w:p w14:paraId="7D32FDDB">
      <w:pPr>
        <w:spacing w:line="360" w:lineRule="auto"/>
        <w:ind w:firstLine="435"/>
        <w:rPr>
          <w:rFonts w:hint="eastAsia" w:asciiTheme="minorEastAsia" w:hAnsiTheme="minorEastAsia" w:eastAsiaTheme="minorEastAsia"/>
          <w:color w:val="auto"/>
          <w:sz w:val="24"/>
          <w:highlight w:val="none"/>
        </w:rPr>
      </w:pPr>
    </w:p>
    <w:p w14:paraId="63EF9467">
      <w:pPr>
        <w:pStyle w:val="2"/>
        <w:keepNext w:val="0"/>
        <w:keepLines w:val="0"/>
        <w:pageBreakBefore w:val="0"/>
        <w:widowControl w:val="0"/>
        <w:kinsoku/>
        <w:wordWrap/>
        <w:overflowPunct/>
        <w:topLinePunct w:val="0"/>
        <w:autoSpaceDE/>
        <w:autoSpaceDN/>
        <w:bidi w:val="0"/>
        <w:adjustRightInd/>
        <w:snapToGrid/>
        <w:ind w:left="0" w:leftChars="0" w:firstLine="0" w:firstLineChars="0"/>
        <w:textAlignment w:val="auto"/>
        <w:outlineLvl w:val="3"/>
        <w:rPr>
          <w:rFonts w:hint="default" w:cs="@仿宋_GB2312" w:asciiTheme="minorEastAsia" w:hAnsiTheme="minorEastAsia" w:eastAsiaTheme="minorEastAsia"/>
          <w:b w:val="0"/>
          <w:color w:val="auto"/>
          <w:kern w:val="2"/>
          <w:sz w:val="24"/>
          <w:szCs w:val="20"/>
          <w:highlight w:val="none"/>
          <w:lang w:val="en-US" w:eastAsia="zh-CN" w:bidi="ar-SA"/>
        </w:rPr>
      </w:pPr>
      <w:r>
        <w:rPr>
          <w:rFonts w:hint="eastAsia" w:cs="@仿宋_GB2312" w:asciiTheme="minorEastAsia" w:hAnsiTheme="minorEastAsia" w:eastAsiaTheme="minorEastAsia"/>
          <w:b w:val="0"/>
          <w:color w:val="auto"/>
          <w:kern w:val="2"/>
          <w:sz w:val="24"/>
          <w:szCs w:val="20"/>
          <w:highlight w:val="none"/>
          <w:lang w:val="en-US" w:eastAsia="zh-CN" w:bidi="ar-SA"/>
        </w:rPr>
        <w:t>03包：</w:t>
      </w:r>
    </w:p>
    <w:tbl>
      <w:tblPr>
        <w:tblStyle w:val="2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75"/>
        <w:gridCol w:w="1720"/>
        <w:gridCol w:w="3745"/>
        <w:gridCol w:w="1582"/>
      </w:tblGrid>
      <w:tr w14:paraId="1405B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865" w:type="pct"/>
            <w:tcBorders>
              <w:top w:val="single" w:color="auto" w:sz="4" w:space="0"/>
              <w:left w:val="single" w:color="auto" w:sz="4" w:space="0"/>
              <w:bottom w:val="single" w:color="auto" w:sz="4" w:space="0"/>
              <w:right w:val="single" w:color="auto" w:sz="4" w:space="0"/>
            </w:tcBorders>
            <w:vAlign w:val="center"/>
          </w:tcPr>
          <w:p w14:paraId="00CECFB9">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b/>
                <w:bCs/>
                <w:color w:val="auto"/>
                <w:sz w:val="24"/>
                <w:szCs w:val="24"/>
                <w:highlight w:val="none"/>
              </w:rPr>
              <w:t>类别</w:t>
            </w:r>
          </w:p>
        </w:tc>
        <w:tc>
          <w:tcPr>
            <w:tcW w:w="1009" w:type="pct"/>
            <w:tcBorders>
              <w:top w:val="single" w:color="auto" w:sz="4" w:space="0"/>
              <w:left w:val="nil"/>
              <w:bottom w:val="single" w:color="auto" w:sz="4" w:space="0"/>
              <w:right w:val="single" w:color="auto" w:sz="4" w:space="0"/>
            </w:tcBorders>
            <w:vAlign w:val="center"/>
          </w:tcPr>
          <w:p w14:paraId="14F44126">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b/>
                <w:bCs/>
                <w:color w:val="auto"/>
                <w:sz w:val="24"/>
                <w:szCs w:val="24"/>
                <w:highlight w:val="none"/>
              </w:rPr>
              <w:t>评分内容</w:t>
            </w:r>
          </w:p>
        </w:tc>
        <w:tc>
          <w:tcPr>
            <w:tcW w:w="2197" w:type="pct"/>
            <w:tcBorders>
              <w:top w:val="single" w:color="auto" w:sz="4" w:space="0"/>
              <w:left w:val="nil"/>
              <w:bottom w:val="single" w:color="auto" w:sz="4" w:space="0"/>
              <w:right w:val="single" w:color="auto" w:sz="4" w:space="0"/>
            </w:tcBorders>
            <w:vAlign w:val="center"/>
          </w:tcPr>
          <w:p w14:paraId="674FA9FC">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b/>
                <w:bCs/>
                <w:color w:val="auto"/>
                <w:sz w:val="24"/>
                <w:szCs w:val="24"/>
                <w:highlight w:val="none"/>
              </w:rPr>
              <w:t>评分标准</w:t>
            </w:r>
          </w:p>
        </w:tc>
        <w:tc>
          <w:tcPr>
            <w:tcW w:w="927" w:type="pct"/>
            <w:tcBorders>
              <w:top w:val="single" w:color="auto" w:sz="4" w:space="0"/>
              <w:left w:val="nil"/>
              <w:bottom w:val="single" w:color="auto" w:sz="4" w:space="0"/>
              <w:right w:val="single" w:color="auto" w:sz="4" w:space="0"/>
            </w:tcBorders>
            <w:vAlign w:val="center"/>
          </w:tcPr>
          <w:p w14:paraId="0061B198">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b/>
                <w:bCs/>
                <w:color w:val="auto"/>
                <w:sz w:val="24"/>
                <w:szCs w:val="24"/>
                <w:highlight w:val="none"/>
              </w:rPr>
              <w:t>分值范围</w:t>
            </w:r>
          </w:p>
        </w:tc>
      </w:tr>
      <w:tr w14:paraId="35F6F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5" w:type="pct"/>
            <w:vMerge w:val="restart"/>
            <w:tcBorders>
              <w:top w:val="nil"/>
              <w:left w:val="single" w:color="auto" w:sz="4" w:space="0"/>
              <w:bottom w:val="single" w:color="auto" w:sz="4" w:space="0"/>
              <w:right w:val="single" w:color="auto" w:sz="4" w:space="0"/>
            </w:tcBorders>
            <w:vAlign w:val="center"/>
          </w:tcPr>
          <w:p w14:paraId="7646956D">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技术资信分</w:t>
            </w:r>
          </w:p>
          <w:p w14:paraId="7DC30482">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u w:val="single"/>
              </w:rPr>
              <w:t>70</w:t>
            </w:r>
            <w:r>
              <w:rPr>
                <w:rFonts w:hint="eastAsia" w:ascii="宋体" w:hAnsi="宋体" w:eastAsia="宋体" w:cs="Times New Roman"/>
                <w:color w:val="auto"/>
                <w:sz w:val="24"/>
                <w:szCs w:val="24"/>
                <w:highlight w:val="none"/>
              </w:rPr>
              <w:t>分）</w:t>
            </w:r>
          </w:p>
        </w:tc>
        <w:tc>
          <w:tcPr>
            <w:tcW w:w="1009" w:type="pct"/>
            <w:tcBorders>
              <w:top w:val="single" w:color="auto" w:sz="4" w:space="0"/>
              <w:left w:val="nil"/>
              <w:bottom w:val="single" w:color="auto" w:sz="4" w:space="0"/>
              <w:right w:val="single" w:color="auto" w:sz="4" w:space="0"/>
            </w:tcBorders>
            <w:vAlign w:val="center"/>
          </w:tcPr>
          <w:p w14:paraId="3233563D">
            <w:pPr>
              <w:spacing w:line="360" w:lineRule="auto"/>
              <w:jc w:val="center"/>
              <w:rPr>
                <w:rFonts w:hint="eastAsia"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产品业绩</w:t>
            </w:r>
          </w:p>
        </w:tc>
        <w:tc>
          <w:tcPr>
            <w:tcW w:w="2197" w:type="pct"/>
            <w:tcBorders>
              <w:top w:val="single" w:color="auto" w:sz="4" w:space="0"/>
              <w:left w:val="nil"/>
              <w:bottom w:val="single" w:color="auto" w:sz="4" w:space="0"/>
              <w:right w:val="single" w:color="auto" w:sz="4" w:space="0"/>
            </w:tcBorders>
            <w:vAlign w:val="center"/>
          </w:tcPr>
          <w:p w14:paraId="7D798BBB">
            <w:pPr>
              <w:spacing w:line="360" w:lineRule="auto"/>
              <w:rPr>
                <w:rFonts w:hint="eastAsia"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每提供1个自2023年1月1日起（以合同签订时间为准）</w:t>
            </w:r>
            <w:r>
              <w:rPr>
                <w:rFonts w:hint="eastAsia" w:ascii="宋体" w:hAnsi="宋体" w:eastAsia="宋体" w:cs="Times New Roman"/>
                <w:bCs/>
                <w:color w:val="auto"/>
                <w:sz w:val="24"/>
                <w:szCs w:val="24"/>
                <w:highlight w:val="none"/>
              </w:rPr>
              <w:t>核心产品</w:t>
            </w:r>
            <w:r>
              <w:rPr>
                <w:rFonts w:hint="eastAsia" w:ascii="宋体" w:hAnsi="宋体" w:eastAsia="宋体" w:cs="Times New Roman"/>
                <w:bCs/>
                <w:color w:val="auto"/>
                <w:sz w:val="24"/>
                <w:szCs w:val="24"/>
                <w:highlight w:val="none"/>
              </w:rPr>
              <w:t>为医疗机构供货的业绩，得2分，满分</w:t>
            </w:r>
            <w:r>
              <w:rPr>
                <w:rFonts w:hint="eastAsia" w:ascii="宋体" w:hAnsi="宋体" w:eastAsia="宋体" w:cs="Times New Roman"/>
                <w:bCs/>
                <w:color w:val="auto"/>
                <w:sz w:val="24"/>
                <w:szCs w:val="24"/>
                <w:highlight w:val="none"/>
                <w:lang w:val="en-US" w:eastAsia="zh-CN"/>
              </w:rPr>
              <w:t>4</w:t>
            </w:r>
            <w:r>
              <w:rPr>
                <w:rFonts w:hint="eastAsia" w:ascii="宋体" w:hAnsi="宋体" w:eastAsia="宋体" w:cs="Times New Roman"/>
                <w:bCs/>
                <w:color w:val="auto"/>
                <w:sz w:val="24"/>
                <w:szCs w:val="24"/>
                <w:highlight w:val="none"/>
              </w:rPr>
              <w:t>分。</w:t>
            </w:r>
          </w:p>
          <w:p w14:paraId="569188D0">
            <w:pPr>
              <w:spacing w:line="360" w:lineRule="auto"/>
              <w:rPr>
                <w:rFonts w:hint="eastAsia"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注：（1）提供合同扫描件（体现合同签订时间、核心产品、合同甲方等评审因素；业绩合同乙方主体不限，合同甲方主体须为医疗机构）；（2）如上述业绩证明材料不能体现相应评审因素，需同时提供业绩合同甲方（或合同业主）盖章证明材料，否则不得分。</w:t>
            </w:r>
          </w:p>
        </w:tc>
        <w:tc>
          <w:tcPr>
            <w:tcW w:w="927" w:type="pct"/>
            <w:tcBorders>
              <w:top w:val="single" w:color="auto" w:sz="4" w:space="0"/>
              <w:left w:val="nil"/>
              <w:bottom w:val="single" w:color="auto" w:sz="4" w:space="0"/>
              <w:right w:val="single" w:color="auto" w:sz="4" w:space="0"/>
            </w:tcBorders>
            <w:vAlign w:val="center"/>
          </w:tcPr>
          <w:p w14:paraId="4AB521CD">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0-</w:t>
            </w:r>
            <w:r>
              <w:rPr>
                <w:rFonts w:hint="eastAsia" w:ascii="宋体" w:hAnsi="宋体" w:eastAsia="宋体" w:cs="Times New Roman"/>
                <w:color w:val="auto"/>
                <w:sz w:val="24"/>
                <w:szCs w:val="24"/>
                <w:highlight w:val="none"/>
                <w:lang w:val="en-US" w:eastAsia="zh-CN"/>
              </w:rPr>
              <w:t>4</w:t>
            </w:r>
            <w:r>
              <w:rPr>
                <w:rFonts w:hint="eastAsia" w:ascii="宋体" w:hAnsi="宋体" w:eastAsia="宋体" w:cs="Times New Roman"/>
                <w:color w:val="auto"/>
                <w:sz w:val="24"/>
                <w:szCs w:val="24"/>
                <w:highlight w:val="none"/>
              </w:rPr>
              <w:t>分</w:t>
            </w:r>
          </w:p>
        </w:tc>
      </w:tr>
      <w:tr w14:paraId="4FA2A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nil"/>
              <w:left w:val="single" w:color="auto" w:sz="4" w:space="0"/>
              <w:bottom w:val="single" w:color="auto" w:sz="4" w:space="0"/>
              <w:right w:val="single" w:color="auto" w:sz="4" w:space="0"/>
            </w:tcBorders>
            <w:vAlign w:val="center"/>
          </w:tcPr>
          <w:p w14:paraId="0CBCA157">
            <w:pPr>
              <w:widowControl/>
              <w:jc w:val="left"/>
              <w:rPr>
                <w:rFonts w:hint="eastAsia" w:ascii="宋体" w:hAnsi="宋体" w:eastAsia="宋体" w:cs="Times New Roman"/>
                <w:b/>
                <w:bCs/>
                <w:color w:val="auto"/>
                <w:sz w:val="24"/>
                <w:szCs w:val="24"/>
                <w:highlight w:val="none"/>
              </w:rPr>
            </w:pPr>
          </w:p>
        </w:tc>
        <w:tc>
          <w:tcPr>
            <w:tcW w:w="1009" w:type="pct"/>
            <w:tcBorders>
              <w:top w:val="single" w:color="auto" w:sz="4" w:space="0"/>
              <w:left w:val="nil"/>
              <w:bottom w:val="single" w:color="auto" w:sz="4" w:space="0"/>
              <w:right w:val="single" w:color="auto" w:sz="4" w:space="0"/>
            </w:tcBorders>
            <w:vAlign w:val="center"/>
          </w:tcPr>
          <w:p w14:paraId="291933FE">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技术参数及要求响应情况</w:t>
            </w:r>
          </w:p>
        </w:tc>
        <w:tc>
          <w:tcPr>
            <w:tcW w:w="2197" w:type="pct"/>
            <w:tcBorders>
              <w:top w:val="single" w:color="auto" w:sz="4" w:space="0"/>
              <w:left w:val="nil"/>
              <w:bottom w:val="single" w:color="auto" w:sz="4" w:space="0"/>
              <w:right w:val="single" w:color="auto" w:sz="4" w:space="0"/>
            </w:tcBorders>
            <w:vAlign w:val="center"/>
          </w:tcPr>
          <w:p w14:paraId="17D7A832">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根据投标人对招标文件的《第三章 采购需求》中“二、货物需求一览表”的技术参数及要求响应情况进行评分：</w:t>
            </w:r>
          </w:p>
          <w:p w14:paraId="776BC830">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（1）标注“</w:t>
            </w:r>
            <w:r>
              <w:rPr>
                <w:rFonts w:hint="eastAsia" w:ascii="宋体" w:hAnsi="宋体" w:eastAsia="宋体" w:cs="Times New Roman"/>
                <w:color w:val="auto"/>
                <w:sz w:val="24"/>
                <w:szCs w:val="24"/>
                <w:highlight w:val="none"/>
                <w:lang w:val="en-US" w:eastAsia="zh-CN"/>
              </w:rPr>
              <w:t>★</w:t>
            </w:r>
            <w:r>
              <w:rPr>
                <w:rFonts w:hint="eastAsia" w:ascii="宋体" w:hAnsi="宋体" w:eastAsia="宋体" w:cs="Times New Roman"/>
                <w:color w:val="auto"/>
                <w:sz w:val="24"/>
                <w:szCs w:val="24"/>
                <w:highlight w:val="none"/>
              </w:rPr>
              <w:t>”的技术参数，存在负偏离的投标将被否决。</w:t>
            </w:r>
          </w:p>
          <w:p w14:paraId="2C7CE323">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lang w:val="en-US" w:eastAsia="zh-CN"/>
              </w:rPr>
              <w:t>2</w:t>
            </w:r>
            <w:r>
              <w:rPr>
                <w:rFonts w:hint="eastAsia" w:ascii="宋体" w:hAnsi="宋体" w:eastAsia="宋体" w:cs="Times New Roman"/>
                <w:color w:val="auto"/>
                <w:sz w:val="24"/>
                <w:szCs w:val="24"/>
                <w:highlight w:val="none"/>
              </w:rPr>
              <w:t>）标注“▲”的技术参数，每一项负偏离扣2分，</w:t>
            </w:r>
            <w:r>
              <w:rPr>
                <w:rFonts w:hint="eastAsia" w:ascii="宋体" w:hAnsi="宋体" w:eastAsia="宋体" w:cs="Times New Roman"/>
                <w:color w:val="auto"/>
                <w:sz w:val="24"/>
                <w:szCs w:val="24"/>
                <w:highlight w:val="none"/>
                <w:lang w:val="en-US" w:eastAsia="zh-CN"/>
              </w:rPr>
              <w:t>10</w:t>
            </w:r>
            <w:r>
              <w:rPr>
                <w:rFonts w:hint="eastAsia" w:ascii="宋体" w:hAnsi="宋体" w:eastAsia="宋体" w:cs="Times New Roman"/>
                <w:color w:val="auto"/>
                <w:sz w:val="24"/>
                <w:szCs w:val="24"/>
                <w:highlight w:val="none"/>
              </w:rPr>
              <w:t>项（不含）以上存在负偏离的投标将被否决，本小项满分</w:t>
            </w:r>
            <w:r>
              <w:rPr>
                <w:rFonts w:hint="eastAsia" w:ascii="宋体" w:hAnsi="宋体" w:eastAsia="宋体" w:cs="Times New Roman"/>
                <w:color w:val="auto"/>
                <w:sz w:val="24"/>
                <w:szCs w:val="24"/>
                <w:highlight w:val="none"/>
                <w:lang w:val="en-US" w:eastAsia="zh-CN"/>
              </w:rPr>
              <w:t>20</w:t>
            </w:r>
            <w:r>
              <w:rPr>
                <w:rFonts w:hint="eastAsia" w:ascii="宋体" w:hAnsi="宋体" w:eastAsia="宋体" w:cs="Times New Roman"/>
                <w:color w:val="auto"/>
                <w:sz w:val="24"/>
                <w:szCs w:val="24"/>
                <w:highlight w:val="none"/>
              </w:rPr>
              <w:t>分。</w:t>
            </w:r>
          </w:p>
          <w:p w14:paraId="07FAAC2C">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（2）未标注“▲”的技术参数要求，每一项负偏离扣1分，</w:t>
            </w:r>
            <w:r>
              <w:rPr>
                <w:rFonts w:hint="eastAsia" w:ascii="宋体" w:hAnsi="宋体" w:eastAsia="宋体" w:cs="Times New Roman"/>
                <w:color w:val="auto"/>
                <w:sz w:val="24"/>
                <w:szCs w:val="24"/>
                <w:highlight w:val="none"/>
                <w:lang w:val="en-US" w:eastAsia="zh-CN"/>
              </w:rPr>
              <w:t>21</w:t>
            </w:r>
            <w:r>
              <w:rPr>
                <w:rFonts w:hint="eastAsia" w:ascii="宋体" w:hAnsi="宋体" w:eastAsia="宋体" w:cs="Times New Roman"/>
                <w:color w:val="auto"/>
                <w:sz w:val="24"/>
                <w:szCs w:val="24"/>
                <w:highlight w:val="none"/>
              </w:rPr>
              <w:t>项（不含）以上存在负偏离的投标将被否决，本小项满分</w:t>
            </w:r>
            <w:r>
              <w:rPr>
                <w:rFonts w:hint="eastAsia" w:ascii="宋体" w:hAnsi="宋体" w:eastAsia="宋体" w:cs="Times New Roman"/>
                <w:color w:val="auto"/>
                <w:sz w:val="24"/>
                <w:szCs w:val="24"/>
                <w:highlight w:val="none"/>
                <w:lang w:val="en-US" w:eastAsia="zh-CN"/>
              </w:rPr>
              <w:t>21</w:t>
            </w:r>
            <w:r>
              <w:rPr>
                <w:rFonts w:hint="eastAsia" w:ascii="宋体" w:hAnsi="宋体" w:eastAsia="宋体" w:cs="Times New Roman"/>
                <w:color w:val="auto"/>
                <w:sz w:val="24"/>
                <w:szCs w:val="24"/>
                <w:highlight w:val="none"/>
              </w:rPr>
              <w:t>分。</w:t>
            </w:r>
          </w:p>
          <w:p w14:paraId="72976392">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注：以投标响应表中的技术响应表和采购需求中要求提供的证明材料作为评审依据。</w:t>
            </w:r>
          </w:p>
        </w:tc>
        <w:tc>
          <w:tcPr>
            <w:tcW w:w="927" w:type="pct"/>
            <w:tcBorders>
              <w:top w:val="single" w:color="auto" w:sz="4" w:space="0"/>
              <w:left w:val="nil"/>
              <w:bottom w:val="single" w:color="auto" w:sz="4" w:space="0"/>
              <w:right w:val="single" w:color="auto" w:sz="4" w:space="0"/>
            </w:tcBorders>
            <w:vAlign w:val="center"/>
          </w:tcPr>
          <w:p w14:paraId="2FC03C28">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color w:val="auto"/>
                <w:sz w:val="24"/>
                <w:szCs w:val="24"/>
                <w:highlight w:val="none"/>
              </w:rPr>
              <w:t>0-</w:t>
            </w:r>
            <w:r>
              <w:rPr>
                <w:rFonts w:hint="eastAsia" w:ascii="宋体" w:hAnsi="宋体" w:eastAsia="宋体" w:cs="Times New Roman"/>
                <w:color w:val="auto"/>
                <w:sz w:val="24"/>
                <w:szCs w:val="24"/>
                <w:highlight w:val="none"/>
                <w:lang w:val="en-US" w:eastAsia="zh-CN"/>
              </w:rPr>
              <w:t>41</w:t>
            </w:r>
            <w:r>
              <w:rPr>
                <w:rFonts w:hint="eastAsia" w:ascii="宋体" w:hAnsi="宋体" w:eastAsia="宋体" w:cs="Times New Roman"/>
                <w:color w:val="auto"/>
                <w:sz w:val="24"/>
                <w:szCs w:val="24"/>
                <w:highlight w:val="none"/>
              </w:rPr>
              <w:t>分</w:t>
            </w:r>
          </w:p>
        </w:tc>
      </w:tr>
      <w:tr w14:paraId="03399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nil"/>
              <w:left w:val="single" w:color="auto" w:sz="4" w:space="0"/>
              <w:bottom w:val="single" w:color="auto" w:sz="4" w:space="0"/>
              <w:right w:val="single" w:color="auto" w:sz="4" w:space="0"/>
            </w:tcBorders>
            <w:vAlign w:val="center"/>
          </w:tcPr>
          <w:p w14:paraId="2BCC3870">
            <w:pPr>
              <w:widowControl/>
              <w:jc w:val="left"/>
              <w:rPr>
                <w:rFonts w:hint="eastAsia" w:ascii="宋体" w:hAnsi="宋体" w:eastAsia="宋体" w:cs="Times New Roman"/>
                <w:b/>
                <w:bCs/>
                <w:color w:val="auto"/>
                <w:sz w:val="24"/>
                <w:szCs w:val="24"/>
                <w:highlight w:val="none"/>
              </w:rPr>
            </w:pPr>
          </w:p>
        </w:tc>
        <w:tc>
          <w:tcPr>
            <w:tcW w:w="1009" w:type="pct"/>
            <w:tcBorders>
              <w:top w:val="single" w:color="auto" w:sz="4" w:space="0"/>
              <w:left w:val="nil"/>
              <w:bottom w:val="single" w:color="auto" w:sz="4" w:space="0"/>
              <w:right w:val="single" w:color="auto" w:sz="4" w:space="0"/>
            </w:tcBorders>
            <w:vAlign w:val="center"/>
          </w:tcPr>
          <w:p w14:paraId="4C9C9745">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项目重难点的应对措施</w:t>
            </w:r>
          </w:p>
        </w:tc>
        <w:tc>
          <w:tcPr>
            <w:tcW w:w="2197" w:type="pct"/>
            <w:tcBorders>
              <w:top w:val="single" w:color="auto" w:sz="4" w:space="0"/>
              <w:left w:val="nil"/>
              <w:bottom w:val="single" w:color="auto" w:sz="4" w:space="0"/>
              <w:right w:val="single" w:color="auto" w:sz="4" w:space="0"/>
            </w:tcBorders>
            <w:vAlign w:val="center"/>
          </w:tcPr>
          <w:p w14:paraId="55E361FF">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评标委员会根据招标文件要求及投标人提供的项目重难点应对措施，进行综合评分：</w:t>
            </w:r>
          </w:p>
          <w:p w14:paraId="036C9293">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（1）措施完整详细，可行性、实用性、针对性较强，优于本项目采购需求的，得5分。</w:t>
            </w:r>
          </w:p>
          <w:p w14:paraId="297C62D5">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（2）措施基本完整，具有可行性、实用性、针对性，适合本项目采购需求的，得3分。</w:t>
            </w:r>
          </w:p>
          <w:p w14:paraId="4427D822">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（3）措施有待提升，可行性、实用性、针对性有待完善，基本适合本项目采购需求的，得1分。</w:t>
            </w:r>
          </w:p>
          <w:p w14:paraId="74F13716">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（4）方案不可行或未提供的，得0分。</w:t>
            </w:r>
          </w:p>
        </w:tc>
        <w:tc>
          <w:tcPr>
            <w:tcW w:w="927" w:type="pct"/>
            <w:tcBorders>
              <w:top w:val="single" w:color="auto" w:sz="4" w:space="0"/>
              <w:left w:val="nil"/>
              <w:bottom w:val="single" w:color="auto" w:sz="4" w:space="0"/>
              <w:right w:val="single" w:color="auto" w:sz="4" w:space="0"/>
            </w:tcBorders>
            <w:vAlign w:val="center"/>
          </w:tcPr>
          <w:p w14:paraId="1809BD53">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color w:val="auto"/>
                <w:sz w:val="24"/>
                <w:szCs w:val="24"/>
                <w:highlight w:val="none"/>
              </w:rPr>
              <w:t>0-5分</w:t>
            </w:r>
          </w:p>
        </w:tc>
      </w:tr>
      <w:tr w14:paraId="040A3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nil"/>
              <w:left w:val="single" w:color="auto" w:sz="4" w:space="0"/>
              <w:bottom w:val="single" w:color="auto" w:sz="4" w:space="0"/>
              <w:right w:val="single" w:color="auto" w:sz="4" w:space="0"/>
            </w:tcBorders>
            <w:vAlign w:val="center"/>
          </w:tcPr>
          <w:p w14:paraId="1F5D6B59">
            <w:pPr>
              <w:widowControl/>
              <w:jc w:val="left"/>
              <w:rPr>
                <w:rFonts w:hint="eastAsia" w:ascii="宋体" w:hAnsi="宋体" w:eastAsia="宋体" w:cs="Times New Roman"/>
                <w:b/>
                <w:bCs/>
                <w:color w:val="auto"/>
                <w:sz w:val="24"/>
                <w:szCs w:val="24"/>
                <w:highlight w:val="none"/>
              </w:rPr>
            </w:pPr>
          </w:p>
        </w:tc>
        <w:tc>
          <w:tcPr>
            <w:tcW w:w="1009" w:type="pct"/>
            <w:tcBorders>
              <w:top w:val="single" w:color="auto" w:sz="4" w:space="0"/>
              <w:left w:val="nil"/>
              <w:bottom w:val="single" w:color="auto" w:sz="4" w:space="0"/>
              <w:right w:val="single" w:color="auto" w:sz="4" w:space="0"/>
            </w:tcBorders>
            <w:vAlign w:val="center"/>
          </w:tcPr>
          <w:p w14:paraId="08BF7FE5">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供货方案</w:t>
            </w:r>
          </w:p>
        </w:tc>
        <w:tc>
          <w:tcPr>
            <w:tcW w:w="2197" w:type="pct"/>
            <w:tcBorders>
              <w:top w:val="single" w:color="auto" w:sz="4" w:space="0"/>
              <w:left w:val="nil"/>
              <w:bottom w:val="single" w:color="auto" w:sz="4" w:space="0"/>
              <w:right w:val="single" w:color="auto" w:sz="4" w:space="0"/>
            </w:tcBorders>
            <w:vAlign w:val="center"/>
          </w:tcPr>
          <w:p w14:paraId="03C5F0B6">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评标委员会根据招标文件要求及投标人提供的供货方案</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lang w:val="en-US" w:eastAsia="zh-CN"/>
              </w:rPr>
              <w:t>包含但不限于货源渠道、交货周期、大件运输、到货验收计划等</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，进行综合评分：</w:t>
            </w:r>
          </w:p>
          <w:p w14:paraId="16FCE81D">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（1）方案全面，组织架构科学，人员配置合理，响应时间快，可行性、实用性、针对性较强，优于本项目采购需求的，得5分。</w:t>
            </w:r>
          </w:p>
          <w:p w14:paraId="515E3E3F">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（2）方案较全面，组织架构较合理，人员配置较合理，响应时间较快，具有可行性、实用性、针对性，适合本项目采购需求的，得3分。</w:t>
            </w:r>
          </w:p>
          <w:p w14:paraId="639D73D8">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（3）方案有待提升，可行性、实用性、针对性有待完善，基本适合本项目采购需求的，得1分。</w:t>
            </w:r>
          </w:p>
          <w:p w14:paraId="5E3E9FAE">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（4）方案不可行或未提供的，得0分。</w:t>
            </w:r>
          </w:p>
        </w:tc>
        <w:tc>
          <w:tcPr>
            <w:tcW w:w="927" w:type="pct"/>
            <w:tcBorders>
              <w:top w:val="single" w:color="auto" w:sz="4" w:space="0"/>
              <w:left w:val="nil"/>
              <w:bottom w:val="single" w:color="auto" w:sz="4" w:space="0"/>
              <w:right w:val="single" w:color="auto" w:sz="4" w:space="0"/>
            </w:tcBorders>
            <w:vAlign w:val="center"/>
          </w:tcPr>
          <w:p w14:paraId="75AB6E2A">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0-5分</w:t>
            </w:r>
          </w:p>
        </w:tc>
      </w:tr>
      <w:tr w14:paraId="1D6E1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nil"/>
              <w:left w:val="single" w:color="auto" w:sz="4" w:space="0"/>
              <w:bottom w:val="single" w:color="auto" w:sz="4" w:space="0"/>
              <w:right w:val="single" w:color="auto" w:sz="4" w:space="0"/>
            </w:tcBorders>
            <w:vAlign w:val="center"/>
          </w:tcPr>
          <w:p w14:paraId="334C967D">
            <w:pPr>
              <w:widowControl/>
              <w:jc w:val="left"/>
              <w:rPr>
                <w:rFonts w:hint="eastAsia" w:ascii="宋体" w:hAnsi="宋体" w:eastAsia="宋体" w:cs="Times New Roman"/>
                <w:b/>
                <w:bCs/>
                <w:color w:val="auto"/>
                <w:sz w:val="24"/>
                <w:szCs w:val="24"/>
                <w:highlight w:val="none"/>
              </w:rPr>
            </w:pPr>
          </w:p>
        </w:tc>
        <w:tc>
          <w:tcPr>
            <w:tcW w:w="1009" w:type="pct"/>
            <w:tcBorders>
              <w:top w:val="single" w:color="auto" w:sz="4" w:space="0"/>
              <w:left w:val="nil"/>
              <w:bottom w:val="single" w:color="auto" w:sz="4" w:space="0"/>
              <w:right w:val="single" w:color="auto" w:sz="4" w:space="0"/>
            </w:tcBorders>
            <w:vAlign w:val="center"/>
          </w:tcPr>
          <w:p w14:paraId="14B3343F">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安装调试方案</w:t>
            </w:r>
          </w:p>
        </w:tc>
        <w:tc>
          <w:tcPr>
            <w:tcW w:w="2197" w:type="pct"/>
            <w:tcBorders>
              <w:top w:val="single" w:color="auto" w:sz="4" w:space="0"/>
              <w:left w:val="nil"/>
              <w:bottom w:val="single" w:color="auto" w:sz="4" w:space="0"/>
              <w:right w:val="single" w:color="auto" w:sz="4" w:space="0"/>
            </w:tcBorders>
            <w:vAlign w:val="center"/>
          </w:tcPr>
          <w:p w14:paraId="053CF4C9">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评标委员会根据投标人提供的安装调试方案</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lang w:val="en-US" w:eastAsia="zh-CN"/>
              </w:rPr>
              <w:t>包含但不限于设备安装、设备校准、联调检测、质控验收流程等</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进行综合评分：</w:t>
            </w:r>
          </w:p>
          <w:p w14:paraId="7E544007">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（1）安装调试过程中提供充足的备品备件、辅材，能够在规定时间内完成安装调试任务，优于本项目采购需求的，得5分；</w:t>
            </w:r>
          </w:p>
          <w:p w14:paraId="3295B4B0">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（2）供货安装过程中提供的备品备件、辅材预留情况基本满足项目需求，能够在规定时间内完成安装调试任务，适合本项目采购需求的，得3分；</w:t>
            </w:r>
          </w:p>
          <w:p w14:paraId="48605788">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（3）供货安装过程中提供的备品备件、辅材预留情况有待完善，能够在规定时间内完成安装调试任务的，得1分；</w:t>
            </w:r>
          </w:p>
          <w:p w14:paraId="75EB6599">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（4）方案不可行或者未提供，得0分。</w:t>
            </w:r>
          </w:p>
        </w:tc>
        <w:tc>
          <w:tcPr>
            <w:tcW w:w="927" w:type="pct"/>
            <w:tcBorders>
              <w:top w:val="single" w:color="auto" w:sz="4" w:space="0"/>
              <w:left w:val="nil"/>
              <w:bottom w:val="single" w:color="auto" w:sz="4" w:space="0"/>
              <w:right w:val="single" w:color="auto" w:sz="4" w:space="0"/>
            </w:tcBorders>
            <w:vAlign w:val="center"/>
          </w:tcPr>
          <w:p w14:paraId="0926EBCA">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0-5分</w:t>
            </w:r>
          </w:p>
        </w:tc>
      </w:tr>
      <w:tr w14:paraId="75E53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nil"/>
              <w:left w:val="single" w:color="auto" w:sz="4" w:space="0"/>
              <w:bottom w:val="single" w:color="auto" w:sz="4" w:space="0"/>
              <w:right w:val="single" w:color="auto" w:sz="4" w:space="0"/>
            </w:tcBorders>
            <w:vAlign w:val="center"/>
          </w:tcPr>
          <w:p w14:paraId="37C77335">
            <w:pPr>
              <w:widowControl/>
              <w:jc w:val="left"/>
              <w:rPr>
                <w:rFonts w:hint="eastAsia" w:ascii="宋体" w:hAnsi="宋体" w:eastAsia="宋体" w:cs="Times New Roman"/>
                <w:b/>
                <w:bCs/>
                <w:color w:val="auto"/>
                <w:sz w:val="24"/>
                <w:szCs w:val="24"/>
                <w:highlight w:val="none"/>
              </w:rPr>
            </w:pPr>
          </w:p>
        </w:tc>
        <w:tc>
          <w:tcPr>
            <w:tcW w:w="1009" w:type="pct"/>
            <w:tcBorders>
              <w:top w:val="single" w:color="auto" w:sz="4" w:space="0"/>
              <w:left w:val="nil"/>
              <w:bottom w:val="single" w:color="auto" w:sz="4" w:space="0"/>
              <w:right w:val="single" w:color="auto" w:sz="4" w:space="0"/>
            </w:tcBorders>
            <w:vAlign w:val="center"/>
          </w:tcPr>
          <w:p w14:paraId="6E10CDC4">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售后服务方案</w:t>
            </w:r>
          </w:p>
        </w:tc>
        <w:tc>
          <w:tcPr>
            <w:tcW w:w="2197" w:type="pct"/>
            <w:tcBorders>
              <w:top w:val="single" w:color="auto" w:sz="4" w:space="0"/>
              <w:left w:val="nil"/>
              <w:bottom w:val="single" w:color="auto" w:sz="4" w:space="0"/>
              <w:right w:val="single" w:color="auto" w:sz="4" w:space="0"/>
            </w:tcBorders>
            <w:vAlign w:val="center"/>
          </w:tcPr>
          <w:p w14:paraId="4E127EE6">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评标委员会根据招标文件要求及投标人提供的售后服务方案</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lang w:val="en-US" w:eastAsia="zh-CN"/>
              </w:rPr>
              <w:t>包含但不限于备品</w:t>
            </w:r>
            <w:r>
              <w:rPr>
                <w:rFonts w:hint="eastAsia" w:ascii="宋体" w:hAnsi="宋体" w:eastAsia="宋体" w:cs="Times New Roman"/>
                <w:color w:val="auto"/>
                <w:sz w:val="24"/>
                <w:szCs w:val="24"/>
                <w:highlight w:val="none"/>
                <w:lang w:eastAsia="zh-CN"/>
              </w:rPr>
              <w:t>备件、上门维修时效、年度巡检、操作培训</w:t>
            </w:r>
            <w:r>
              <w:rPr>
                <w:rFonts w:hint="eastAsia" w:ascii="宋体" w:hAnsi="宋体" w:eastAsia="宋体" w:cs="Times New Roman"/>
                <w:color w:val="auto"/>
                <w:sz w:val="24"/>
                <w:szCs w:val="24"/>
                <w:highlight w:val="none"/>
                <w:lang w:val="en-US" w:eastAsia="zh-CN"/>
              </w:rPr>
              <w:t>等</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，进行综合评分：</w:t>
            </w:r>
          </w:p>
          <w:p w14:paraId="62A81ABC">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（1）具有完善的售后服务计划、措施，技术支持快速及时，培训方案完整详细，可行性、实用性、针对性较强，优于本项目采购需求的，得5分；</w:t>
            </w:r>
          </w:p>
          <w:p w14:paraId="2B5260B8">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（2）售后服务计划、措施基本完善，培训内容基本详实，技术支持及时，培训方案基本完整，具有可行性、实用性、针对性，能够保障本项目采购需求的，得3分；</w:t>
            </w:r>
          </w:p>
          <w:p w14:paraId="226DAC5B">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（3）售后服务方案、培训方案有待提升，可行性、实用性、针对性有待完善，基本保障本项目采购需求的，得1分；</w:t>
            </w:r>
          </w:p>
          <w:p w14:paraId="09EBC09D">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（4）方案不可行或未提供的得0分。</w:t>
            </w:r>
          </w:p>
        </w:tc>
        <w:tc>
          <w:tcPr>
            <w:tcW w:w="927" w:type="pct"/>
            <w:tcBorders>
              <w:top w:val="single" w:color="auto" w:sz="4" w:space="0"/>
              <w:left w:val="nil"/>
              <w:bottom w:val="single" w:color="auto" w:sz="4" w:space="0"/>
              <w:right w:val="single" w:color="auto" w:sz="4" w:space="0"/>
            </w:tcBorders>
            <w:vAlign w:val="center"/>
          </w:tcPr>
          <w:p w14:paraId="42ADD105">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0-5分</w:t>
            </w:r>
          </w:p>
        </w:tc>
      </w:tr>
      <w:tr w14:paraId="68864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nil"/>
              <w:left w:val="single" w:color="auto" w:sz="4" w:space="0"/>
              <w:bottom w:val="single" w:color="auto" w:sz="4" w:space="0"/>
              <w:right w:val="single" w:color="auto" w:sz="4" w:space="0"/>
            </w:tcBorders>
            <w:vAlign w:val="center"/>
          </w:tcPr>
          <w:p w14:paraId="5DC2E63D">
            <w:pPr>
              <w:widowControl/>
              <w:jc w:val="left"/>
              <w:rPr>
                <w:rFonts w:hint="eastAsia" w:ascii="宋体" w:hAnsi="宋体" w:eastAsia="宋体" w:cs="Times New Roman"/>
                <w:b/>
                <w:bCs/>
                <w:color w:val="auto"/>
                <w:sz w:val="24"/>
                <w:szCs w:val="24"/>
                <w:highlight w:val="none"/>
              </w:rPr>
            </w:pPr>
          </w:p>
        </w:tc>
        <w:tc>
          <w:tcPr>
            <w:tcW w:w="1009" w:type="pct"/>
            <w:tcBorders>
              <w:top w:val="single" w:color="auto" w:sz="4" w:space="0"/>
              <w:left w:val="nil"/>
              <w:bottom w:val="single" w:color="auto" w:sz="4" w:space="0"/>
              <w:right w:val="single" w:color="auto" w:sz="4" w:space="0"/>
            </w:tcBorders>
            <w:vAlign w:val="center"/>
          </w:tcPr>
          <w:p w14:paraId="19C9B186">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优惠承诺及增值服务</w:t>
            </w:r>
          </w:p>
        </w:tc>
        <w:tc>
          <w:tcPr>
            <w:tcW w:w="2197" w:type="pct"/>
            <w:tcBorders>
              <w:top w:val="single" w:color="auto" w:sz="4" w:space="0"/>
              <w:left w:val="nil"/>
              <w:bottom w:val="single" w:color="auto" w:sz="4" w:space="0"/>
              <w:right w:val="single" w:color="auto" w:sz="4" w:space="0"/>
            </w:tcBorders>
            <w:vAlign w:val="center"/>
          </w:tcPr>
          <w:p w14:paraId="2B8007F0">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评标委员根据投标人提供的优惠承诺及增值服务对于采购人的实际经济效益进行评审：</w:t>
            </w:r>
          </w:p>
          <w:p w14:paraId="5133FE48">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（1）有具体优惠条件及增值服务，且优惠条件及增值服务实用性强，实际价值高的，得5分；</w:t>
            </w:r>
          </w:p>
          <w:p w14:paraId="74F4FDAE">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（2）有具体的优惠条件及增值服务，且优惠条件及增值服务具有实用性的，得3分；</w:t>
            </w:r>
          </w:p>
          <w:p w14:paraId="7B570BF2">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（3）有优惠条件及增值服务，实用性有待提升的，得1分；</w:t>
            </w:r>
          </w:p>
          <w:p w14:paraId="785ABF1E">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（4）未提供的，得0分。</w:t>
            </w:r>
          </w:p>
        </w:tc>
        <w:tc>
          <w:tcPr>
            <w:tcW w:w="927" w:type="pct"/>
            <w:tcBorders>
              <w:top w:val="single" w:color="auto" w:sz="4" w:space="0"/>
              <w:left w:val="nil"/>
              <w:bottom w:val="single" w:color="auto" w:sz="4" w:space="0"/>
              <w:right w:val="single" w:color="auto" w:sz="4" w:space="0"/>
            </w:tcBorders>
            <w:vAlign w:val="center"/>
          </w:tcPr>
          <w:p w14:paraId="0CF56ED9">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color w:val="auto"/>
                <w:sz w:val="24"/>
                <w:szCs w:val="24"/>
                <w:highlight w:val="none"/>
              </w:rPr>
              <w:t>0-5分</w:t>
            </w:r>
          </w:p>
        </w:tc>
      </w:tr>
      <w:tr w14:paraId="51835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5" w:type="pct"/>
            <w:tcBorders>
              <w:top w:val="single" w:color="auto" w:sz="4" w:space="0"/>
              <w:left w:val="single" w:color="auto" w:sz="4" w:space="0"/>
              <w:bottom w:val="single" w:color="auto" w:sz="4" w:space="0"/>
              <w:right w:val="single" w:color="auto" w:sz="4" w:space="0"/>
            </w:tcBorders>
            <w:vAlign w:val="center"/>
          </w:tcPr>
          <w:p w14:paraId="1BF821E4">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价格分</w:t>
            </w:r>
          </w:p>
          <w:p w14:paraId="17BBF93A">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u w:val="single"/>
              </w:rPr>
              <w:t>30</w:t>
            </w:r>
            <w:r>
              <w:rPr>
                <w:rFonts w:hint="eastAsia" w:ascii="宋体" w:hAnsi="宋体" w:eastAsia="宋体" w:cs="Times New Roman"/>
                <w:color w:val="auto"/>
                <w:sz w:val="24"/>
                <w:szCs w:val="24"/>
                <w:highlight w:val="none"/>
              </w:rPr>
              <w:t>分）</w:t>
            </w:r>
          </w:p>
        </w:tc>
        <w:tc>
          <w:tcPr>
            <w:tcW w:w="4134" w:type="pct"/>
            <w:gridSpan w:val="3"/>
            <w:tcBorders>
              <w:top w:val="single" w:color="auto" w:sz="4" w:space="0"/>
              <w:left w:val="nil"/>
              <w:bottom w:val="single" w:color="auto" w:sz="4" w:space="0"/>
              <w:right w:val="single" w:color="auto" w:sz="4" w:space="0"/>
            </w:tcBorders>
            <w:vAlign w:val="center"/>
          </w:tcPr>
          <w:p w14:paraId="2ACAFA19">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价格分统一采用低价优先法，即满足招标文件要求且投标价格最低的投标报价为评标基准价，其价格分为满分30分。其他投标人的价格分统一按照下列公式计算：</w:t>
            </w:r>
          </w:p>
          <w:p w14:paraId="5D5A1679">
            <w:pPr>
              <w:spacing w:line="360" w:lineRule="auto"/>
              <w:rPr>
                <w:rFonts w:hint="eastAsia" w:ascii="宋体" w:hAnsi="宋体" w:eastAsia="宋体" w:cs="Times New Roman"/>
                <w:b/>
                <w:bCs/>
                <w:color w:val="auto"/>
                <w:sz w:val="24"/>
                <w:szCs w:val="24"/>
                <w:highlight w:val="none"/>
              </w:rPr>
            </w:pPr>
            <w:r>
              <w:rPr>
                <w:rFonts w:hint="eastAsia" w:ascii="宋体" w:hAnsi="宋体" w:eastAsia="宋体" w:cs="Times New Roman"/>
                <w:color w:val="auto"/>
                <w:sz w:val="24"/>
                <w:szCs w:val="24"/>
                <w:highlight w:val="none"/>
              </w:rPr>
              <w:t>投标报价得分＝（评标基准价/投标报价）×30％×100</w:t>
            </w:r>
          </w:p>
        </w:tc>
      </w:tr>
    </w:tbl>
    <w:p w14:paraId="0F998EE8">
      <w:pPr>
        <w:spacing w:line="360" w:lineRule="auto"/>
        <w:ind w:firstLine="435"/>
        <w:rPr>
          <w:rFonts w:hint="eastAsia" w:asciiTheme="minorEastAsia" w:hAnsiTheme="minorEastAsia" w:eastAsiaTheme="minorEastAsia"/>
          <w:color w:val="auto"/>
          <w:sz w:val="24"/>
          <w:highlight w:val="none"/>
        </w:rPr>
      </w:pPr>
    </w:p>
    <w:p w14:paraId="1A51018F">
      <w:pPr>
        <w:pStyle w:val="2"/>
        <w:keepNext w:val="0"/>
        <w:keepLines w:val="0"/>
        <w:pageBreakBefore w:val="0"/>
        <w:widowControl w:val="0"/>
        <w:kinsoku/>
        <w:wordWrap/>
        <w:overflowPunct/>
        <w:topLinePunct w:val="0"/>
        <w:autoSpaceDE/>
        <w:autoSpaceDN/>
        <w:bidi w:val="0"/>
        <w:adjustRightInd/>
        <w:snapToGrid/>
        <w:ind w:left="0" w:leftChars="0" w:firstLine="0" w:firstLineChars="0"/>
        <w:textAlignment w:val="auto"/>
        <w:outlineLvl w:val="3"/>
        <w:rPr>
          <w:rFonts w:hint="default" w:cs="@仿宋_GB2312" w:asciiTheme="minorEastAsia" w:hAnsiTheme="minorEastAsia" w:eastAsiaTheme="minorEastAsia"/>
          <w:b w:val="0"/>
          <w:color w:val="auto"/>
          <w:kern w:val="2"/>
          <w:sz w:val="24"/>
          <w:szCs w:val="20"/>
          <w:highlight w:val="none"/>
          <w:lang w:val="en-US" w:eastAsia="zh-CN" w:bidi="ar-SA"/>
        </w:rPr>
      </w:pPr>
      <w:r>
        <w:rPr>
          <w:rFonts w:hint="eastAsia" w:cs="@仿宋_GB2312" w:asciiTheme="minorEastAsia" w:hAnsiTheme="minorEastAsia" w:eastAsiaTheme="minorEastAsia"/>
          <w:b w:val="0"/>
          <w:color w:val="auto"/>
          <w:kern w:val="2"/>
          <w:sz w:val="24"/>
          <w:szCs w:val="20"/>
          <w:highlight w:val="none"/>
          <w:lang w:val="en-US" w:eastAsia="zh-CN" w:bidi="ar-SA"/>
        </w:rPr>
        <w:t>04包：</w:t>
      </w:r>
    </w:p>
    <w:tbl>
      <w:tblPr>
        <w:tblStyle w:val="2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75"/>
        <w:gridCol w:w="1720"/>
        <w:gridCol w:w="3745"/>
        <w:gridCol w:w="1582"/>
      </w:tblGrid>
      <w:tr w14:paraId="3DE60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865" w:type="pct"/>
            <w:tcBorders>
              <w:top w:val="single" w:color="auto" w:sz="4" w:space="0"/>
              <w:left w:val="single" w:color="auto" w:sz="4" w:space="0"/>
              <w:bottom w:val="single" w:color="auto" w:sz="4" w:space="0"/>
              <w:right w:val="single" w:color="auto" w:sz="4" w:space="0"/>
            </w:tcBorders>
            <w:vAlign w:val="center"/>
          </w:tcPr>
          <w:p w14:paraId="00427ABB">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b/>
                <w:bCs/>
                <w:color w:val="auto"/>
                <w:sz w:val="24"/>
                <w:szCs w:val="24"/>
                <w:highlight w:val="none"/>
              </w:rPr>
              <w:t>类别</w:t>
            </w:r>
          </w:p>
        </w:tc>
        <w:tc>
          <w:tcPr>
            <w:tcW w:w="1009" w:type="pct"/>
            <w:tcBorders>
              <w:top w:val="single" w:color="auto" w:sz="4" w:space="0"/>
              <w:left w:val="nil"/>
              <w:bottom w:val="single" w:color="auto" w:sz="4" w:space="0"/>
              <w:right w:val="single" w:color="auto" w:sz="4" w:space="0"/>
            </w:tcBorders>
            <w:vAlign w:val="center"/>
          </w:tcPr>
          <w:p w14:paraId="57C2AD6B">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b/>
                <w:bCs/>
                <w:color w:val="auto"/>
                <w:sz w:val="24"/>
                <w:szCs w:val="24"/>
                <w:highlight w:val="none"/>
              </w:rPr>
              <w:t>评分内容</w:t>
            </w:r>
          </w:p>
        </w:tc>
        <w:tc>
          <w:tcPr>
            <w:tcW w:w="2197" w:type="pct"/>
            <w:tcBorders>
              <w:top w:val="single" w:color="auto" w:sz="4" w:space="0"/>
              <w:left w:val="nil"/>
              <w:bottom w:val="single" w:color="auto" w:sz="4" w:space="0"/>
              <w:right w:val="single" w:color="auto" w:sz="4" w:space="0"/>
            </w:tcBorders>
            <w:vAlign w:val="center"/>
          </w:tcPr>
          <w:p w14:paraId="56FBACE0">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b/>
                <w:bCs/>
                <w:color w:val="auto"/>
                <w:sz w:val="24"/>
                <w:szCs w:val="24"/>
                <w:highlight w:val="none"/>
              </w:rPr>
              <w:t>评分标准</w:t>
            </w:r>
          </w:p>
        </w:tc>
        <w:tc>
          <w:tcPr>
            <w:tcW w:w="927" w:type="pct"/>
            <w:tcBorders>
              <w:top w:val="single" w:color="auto" w:sz="4" w:space="0"/>
              <w:left w:val="nil"/>
              <w:bottom w:val="single" w:color="auto" w:sz="4" w:space="0"/>
              <w:right w:val="single" w:color="auto" w:sz="4" w:space="0"/>
            </w:tcBorders>
            <w:vAlign w:val="center"/>
          </w:tcPr>
          <w:p w14:paraId="55AA8961">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b/>
                <w:bCs/>
                <w:color w:val="auto"/>
                <w:sz w:val="24"/>
                <w:szCs w:val="24"/>
                <w:highlight w:val="none"/>
              </w:rPr>
              <w:t>分值范围</w:t>
            </w:r>
          </w:p>
        </w:tc>
      </w:tr>
      <w:tr w14:paraId="348D1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5" w:type="pct"/>
            <w:vMerge w:val="restart"/>
            <w:tcBorders>
              <w:top w:val="nil"/>
              <w:left w:val="single" w:color="auto" w:sz="4" w:space="0"/>
              <w:bottom w:val="single" w:color="auto" w:sz="4" w:space="0"/>
              <w:right w:val="single" w:color="auto" w:sz="4" w:space="0"/>
            </w:tcBorders>
            <w:vAlign w:val="center"/>
          </w:tcPr>
          <w:p w14:paraId="4C15C537">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技术资信分</w:t>
            </w:r>
          </w:p>
          <w:p w14:paraId="14AEDE07">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u w:val="single"/>
              </w:rPr>
              <w:t>70</w:t>
            </w:r>
            <w:r>
              <w:rPr>
                <w:rFonts w:hint="eastAsia" w:ascii="宋体" w:hAnsi="宋体" w:eastAsia="宋体" w:cs="Times New Roman"/>
                <w:color w:val="auto"/>
                <w:sz w:val="24"/>
                <w:szCs w:val="24"/>
                <w:highlight w:val="none"/>
              </w:rPr>
              <w:t>分）</w:t>
            </w:r>
          </w:p>
        </w:tc>
        <w:tc>
          <w:tcPr>
            <w:tcW w:w="1009" w:type="pct"/>
            <w:tcBorders>
              <w:top w:val="single" w:color="auto" w:sz="4" w:space="0"/>
              <w:left w:val="nil"/>
              <w:bottom w:val="single" w:color="auto" w:sz="4" w:space="0"/>
              <w:right w:val="single" w:color="auto" w:sz="4" w:space="0"/>
            </w:tcBorders>
            <w:vAlign w:val="center"/>
          </w:tcPr>
          <w:p w14:paraId="474E4D92">
            <w:pPr>
              <w:spacing w:line="360" w:lineRule="auto"/>
              <w:jc w:val="center"/>
              <w:rPr>
                <w:rFonts w:hint="eastAsia"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产品业绩</w:t>
            </w:r>
          </w:p>
        </w:tc>
        <w:tc>
          <w:tcPr>
            <w:tcW w:w="2197" w:type="pct"/>
            <w:tcBorders>
              <w:top w:val="single" w:color="auto" w:sz="4" w:space="0"/>
              <w:left w:val="nil"/>
              <w:bottom w:val="single" w:color="auto" w:sz="4" w:space="0"/>
              <w:right w:val="single" w:color="auto" w:sz="4" w:space="0"/>
            </w:tcBorders>
            <w:vAlign w:val="center"/>
          </w:tcPr>
          <w:p w14:paraId="7D1073F6">
            <w:pPr>
              <w:spacing w:line="360" w:lineRule="auto"/>
              <w:rPr>
                <w:rFonts w:hint="eastAsia"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每提供1个自2023年1月1日起（以合同签订时间为准）</w:t>
            </w:r>
            <w:r>
              <w:rPr>
                <w:rFonts w:hint="eastAsia" w:ascii="宋体" w:hAnsi="宋体" w:eastAsia="宋体" w:cs="Times New Roman"/>
                <w:bCs/>
                <w:color w:val="auto"/>
                <w:sz w:val="24"/>
                <w:szCs w:val="24"/>
                <w:highlight w:val="none"/>
              </w:rPr>
              <w:t>核心产品</w:t>
            </w:r>
            <w:r>
              <w:rPr>
                <w:rFonts w:hint="eastAsia" w:ascii="宋体" w:hAnsi="宋体" w:eastAsia="宋体" w:cs="Times New Roman"/>
                <w:bCs/>
                <w:color w:val="auto"/>
                <w:sz w:val="24"/>
                <w:szCs w:val="24"/>
                <w:highlight w:val="none"/>
              </w:rPr>
              <w:t>为医疗机构供货的业绩，得2分，满分</w:t>
            </w:r>
            <w:r>
              <w:rPr>
                <w:rFonts w:hint="eastAsia" w:ascii="宋体" w:hAnsi="宋体" w:eastAsia="宋体" w:cs="Times New Roman"/>
                <w:bCs/>
                <w:color w:val="auto"/>
                <w:sz w:val="24"/>
                <w:szCs w:val="24"/>
                <w:highlight w:val="none"/>
                <w:lang w:val="en-US" w:eastAsia="zh-CN"/>
              </w:rPr>
              <w:t>4</w:t>
            </w:r>
            <w:r>
              <w:rPr>
                <w:rFonts w:hint="eastAsia" w:ascii="宋体" w:hAnsi="宋体" w:eastAsia="宋体" w:cs="Times New Roman"/>
                <w:bCs/>
                <w:color w:val="auto"/>
                <w:sz w:val="24"/>
                <w:szCs w:val="24"/>
                <w:highlight w:val="none"/>
              </w:rPr>
              <w:t>分。</w:t>
            </w:r>
          </w:p>
          <w:p w14:paraId="14FD0038">
            <w:pPr>
              <w:spacing w:line="360" w:lineRule="auto"/>
              <w:rPr>
                <w:rFonts w:hint="eastAsia"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注：（1）提供合同扫描件（体现合同签订时间、核心产品、合同甲方等评审因素；业绩合同乙方主体不限，合同甲方主体须为医疗机构）；（2）如上述业绩证明材料不能体现相应评审因素，需同时提供业绩合同甲方（或合同业主）盖章证明材料，否则不得分。</w:t>
            </w:r>
          </w:p>
        </w:tc>
        <w:tc>
          <w:tcPr>
            <w:tcW w:w="927" w:type="pct"/>
            <w:tcBorders>
              <w:top w:val="single" w:color="auto" w:sz="4" w:space="0"/>
              <w:left w:val="nil"/>
              <w:bottom w:val="single" w:color="auto" w:sz="4" w:space="0"/>
              <w:right w:val="single" w:color="auto" w:sz="4" w:space="0"/>
            </w:tcBorders>
            <w:vAlign w:val="center"/>
          </w:tcPr>
          <w:p w14:paraId="45179A3B">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0-</w:t>
            </w:r>
            <w:r>
              <w:rPr>
                <w:rFonts w:hint="eastAsia" w:ascii="宋体" w:hAnsi="宋体" w:eastAsia="宋体" w:cs="Times New Roman"/>
                <w:color w:val="auto"/>
                <w:sz w:val="24"/>
                <w:szCs w:val="24"/>
                <w:highlight w:val="none"/>
                <w:lang w:val="en-US" w:eastAsia="zh-CN"/>
              </w:rPr>
              <w:t>4</w:t>
            </w:r>
            <w:r>
              <w:rPr>
                <w:rFonts w:hint="eastAsia" w:ascii="宋体" w:hAnsi="宋体" w:eastAsia="宋体" w:cs="Times New Roman"/>
                <w:color w:val="auto"/>
                <w:sz w:val="24"/>
                <w:szCs w:val="24"/>
                <w:highlight w:val="none"/>
              </w:rPr>
              <w:t>分</w:t>
            </w:r>
          </w:p>
        </w:tc>
      </w:tr>
      <w:tr w14:paraId="41724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nil"/>
              <w:left w:val="single" w:color="auto" w:sz="4" w:space="0"/>
              <w:bottom w:val="single" w:color="auto" w:sz="4" w:space="0"/>
              <w:right w:val="single" w:color="auto" w:sz="4" w:space="0"/>
            </w:tcBorders>
            <w:vAlign w:val="center"/>
          </w:tcPr>
          <w:p w14:paraId="1D8E1889">
            <w:pPr>
              <w:widowControl/>
              <w:jc w:val="left"/>
              <w:rPr>
                <w:rFonts w:hint="eastAsia" w:ascii="宋体" w:hAnsi="宋体" w:eastAsia="宋体" w:cs="Times New Roman"/>
                <w:b/>
                <w:bCs/>
                <w:color w:val="auto"/>
                <w:sz w:val="24"/>
                <w:szCs w:val="24"/>
                <w:highlight w:val="none"/>
              </w:rPr>
            </w:pPr>
          </w:p>
        </w:tc>
        <w:tc>
          <w:tcPr>
            <w:tcW w:w="1009" w:type="pct"/>
            <w:tcBorders>
              <w:top w:val="single" w:color="auto" w:sz="4" w:space="0"/>
              <w:left w:val="nil"/>
              <w:bottom w:val="single" w:color="auto" w:sz="4" w:space="0"/>
              <w:right w:val="single" w:color="auto" w:sz="4" w:space="0"/>
            </w:tcBorders>
            <w:vAlign w:val="center"/>
          </w:tcPr>
          <w:p w14:paraId="1B50EE48">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技术参数及要求响应情况</w:t>
            </w:r>
          </w:p>
        </w:tc>
        <w:tc>
          <w:tcPr>
            <w:tcW w:w="2197" w:type="pct"/>
            <w:tcBorders>
              <w:top w:val="single" w:color="auto" w:sz="4" w:space="0"/>
              <w:left w:val="nil"/>
              <w:bottom w:val="single" w:color="auto" w:sz="4" w:space="0"/>
              <w:right w:val="single" w:color="auto" w:sz="4" w:space="0"/>
            </w:tcBorders>
            <w:vAlign w:val="center"/>
          </w:tcPr>
          <w:p w14:paraId="583BA56E">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根据投标人对招标文件的《第三章 采购需求》中“二、货物需求一览表”的技术参数及要求响应情况进行评分：</w:t>
            </w:r>
          </w:p>
          <w:p w14:paraId="5A06BDAC">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（1）标注“</w:t>
            </w:r>
            <w:r>
              <w:rPr>
                <w:rFonts w:hint="eastAsia" w:ascii="宋体" w:hAnsi="宋体" w:eastAsia="宋体" w:cs="Times New Roman"/>
                <w:color w:val="auto"/>
                <w:sz w:val="24"/>
                <w:szCs w:val="24"/>
                <w:highlight w:val="none"/>
                <w:lang w:val="en-US" w:eastAsia="zh-CN"/>
              </w:rPr>
              <w:t>★</w:t>
            </w:r>
            <w:r>
              <w:rPr>
                <w:rFonts w:hint="eastAsia" w:ascii="宋体" w:hAnsi="宋体" w:eastAsia="宋体" w:cs="Times New Roman"/>
                <w:color w:val="auto"/>
                <w:sz w:val="24"/>
                <w:szCs w:val="24"/>
                <w:highlight w:val="none"/>
              </w:rPr>
              <w:t>”的技术参数，存在负偏离的投标将被否决。</w:t>
            </w:r>
          </w:p>
          <w:p w14:paraId="404BAD13">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lang w:val="en-US" w:eastAsia="zh-CN"/>
              </w:rPr>
              <w:t>2</w:t>
            </w:r>
            <w:r>
              <w:rPr>
                <w:rFonts w:hint="eastAsia" w:ascii="宋体" w:hAnsi="宋体" w:eastAsia="宋体" w:cs="Times New Roman"/>
                <w:color w:val="auto"/>
                <w:sz w:val="24"/>
                <w:szCs w:val="24"/>
                <w:highlight w:val="none"/>
              </w:rPr>
              <w:t>）标注“▲”的技术参数，每一项负偏离扣2分，</w:t>
            </w:r>
            <w:r>
              <w:rPr>
                <w:rFonts w:hint="eastAsia" w:ascii="宋体" w:hAnsi="宋体" w:eastAsia="宋体" w:cs="Times New Roman"/>
                <w:color w:val="auto"/>
                <w:sz w:val="24"/>
                <w:szCs w:val="24"/>
                <w:highlight w:val="none"/>
                <w:lang w:val="en-US" w:eastAsia="zh-CN"/>
              </w:rPr>
              <w:t>10</w:t>
            </w:r>
            <w:r>
              <w:rPr>
                <w:rFonts w:hint="eastAsia" w:ascii="宋体" w:hAnsi="宋体" w:eastAsia="宋体" w:cs="Times New Roman"/>
                <w:color w:val="auto"/>
                <w:sz w:val="24"/>
                <w:szCs w:val="24"/>
                <w:highlight w:val="none"/>
              </w:rPr>
              <w:t>项（不含）以上存在负偏离的投标将被否决，本小项满分</w:t>
            </w:r>
            <w:r>
              <w:rPr>
                <w:rFonts w:hint="eastAsia" w:ascii="宋体" w:hAnsi="宋体" w:eastAsia="宋体" w:cs="Times New Roman"/>
                <w:color w:val="auto"/>
                <w:sz w:val="24"/>
                <w:szCs w:val="24"/>
                <w:highlight w:val="none"/>
                <w:lang w:val="en-US" w:eastAsia="zh-CN"/>
              </w:rPr>
              <w:t>20</w:t>
            </w:r>
            <w:r>
              <w:rPr>
                <w:rFonts w:hint="eastAsia" w:ascii="宋体" w:hAnsi="宋体" w:eastAsia="宋体" w:cs="Times New Roman"/>
                <w:color w:val="auto"/>
                <w:sz w:val="24"/>
                <w:szCs w:val="24"/>
                <w:highlight w:val="none"/>
              </w:rPr>
              <w:t>分。</w:t>
            </w:r>
          </w:p>
          <w:p w14:paraId="7B72940D">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（2）未标注“▲”的技术参数要求，每一项负偏离扣1分，</w:t>
            </w:r>
            <w:r>
              <w:rPr>
                <w:rFonts w:hint="eastAsia" w:ascii="宋体" w:hAnsi="宋体" w:eastAsia="宋体" w:cs="Times New Roman"/>
                <w:color w:val="auto"/>
                <w:sz w:val="24"/>
                <w:szCs w:val="24"/>
                <w:highlight w:val="none"/>
                <w:lang w:val="en-US" w:eastAsia="zh-CN"/>
              </w:rPr>
              <w:t>21</w:t>
            </w:r>
            <w:r>
              <w:rPr>
                <w:rFonts w:hint="eastAsia" w:ascii="宋体" w:hAnsi="宋体" w:eastAsia="宋体" w:cs="Times New Roman"/>
                <w:color w:val="auto"/>
                <w:sz w:val="24"/>
                <w:szCs w:val="24"/>
                <w:highlight w:val="none"/>
              </w:rPr>
              <w:t>项（不含）以上存在负偏离的投标将被否决，本小项满分</w:t>
            </w:r>
            <w:r>
              <w:rPr>
                <w:rFonts w:hint="eastAsia" w:ascii="宋体" w:hAnsi="宋体" w:eastAsia="宋体" w:cs="Times New Roman"/>
                <w:color w:val="auto"/>
                <w:sz w:val="24"/>
                <w:szCs w:val="24"/>
                <w:highlight w:val="none"/>
                <w:lang w:val="en-US" w:eastAsia="zh-CN"/>
              </w:rPr>
              <w:t>21</w:t>
            </w:r>
            <w:r>
              <w:rPr>
                <w:rFonts w:hint="eastAsia" w:ascii="宋体" w:hAnsi="宋体" w:eastAsia="宋体" w:cs="Times New Roman"/>
                <w:color w:val="auto"/>
                <w:sz w:val="24"/>
                <w:szCs w:val="24"/>
                <w:highlight w:val="none"/>
              </w:rPr>
              <w:t>分。</w:t>
            </w:r>
          </w:p>
          <w:p w14:paraId="39DAB401">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注：以投标响应表中的技术响应表和采购需求中要求提供的证明材料作为评审依据。</w:t>
            </w:r>
          </w:p>
        </w:tc>
        <w:tc>
          <w:tcPr>
            <w:tcW w:w="927" w:type="pct"/>
            <w:tcBorders>
              <w:top w:val="single" w:color="auto" w:sz="4" w:space="0"/>
              <w:left w:val="nil"/>
              <w:bottom w:val="single" w:color="auto" w:sz="4" w:space="0"/>
              <w:right w:val="single" w:color="auto" w:sz="4" w:space="0"/>
            </w:tcBorders>
            <w:vAlign w:val="center"/>
          </w:tcPr>
          <w:p w14:paraId="2D93D801">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color w:val="auto"/>
                <w:sz w:val="24"/>
                <w:szCs w:val="24"/>
                <w:highlight w:val="none"/>
              </w:rPr>
              <w:t>0-</w:t>
            </w:r>
            <w:r>
              <w:rPr>
                <w:rFonts w:hint="eastAsia" w:ascii="宋体" w:hAnsi="宋体" w:eastAsia="宋体" w:cs="Times New Roman"/>
                <w:color w:val="auto"/>
                <w:sz w:val="24"/>
                <w:szCs w:val="24"/>
                <w:highlight w:val="none"/>
                <w:lang w:val="en-US" w:eastAsia="zh-CN"/>
              </w:rPr>
              <w:t>41</w:t>
            </w:r>
            <w:r>
              <w:rPr>
                <w:rFonts w:hint="eastAsia" w:ascii="宋体" w:hAnsi="宋体" w:eastAsia="宋体" w:cs="Times New Roman"/>
                <w:color w:val="auto"/>
                <w:sz w:val="24"/>
                <w:szCs w:val="24"/>
                <w:highlight w:val="none"/>
              </w:rPr>
              <w:t>分</w:t>
            </w:r>
          </w:p>
        </w:tc>
      </w:tr>
      <w:tr w14:paraId="78780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nil"/>
              <w:left w:val="single" w:color="auto" w:sz="4" w:space="0"/>
              <w:bottom w:val="single" w:color="auto" w:sz="4" w:space="0"/>
              <w:right w:val="single" w:color="auto" w:sz="4" w:space="0"/>
            </w:tcBorders>
            <w:vAlign w:val="center"/>
          </w:tcPr>
          <w:p w14:paraId="1CD6C267">
            <w:pPr>
              <w:widowControl/>
              <w:jc w:val="left"/>
              <w:rPr>
                <w:rFonts w:hint="eastAsia" w:ascii="宋体" w:hAnsi="宋体" w:eastAsia="宋体" w:cs="Times New Roman"/>
                <w:b/>
                <w:bCs/>
                <w:color w:val="auto"/>
                <w:sz w:val="24"/>
                <w:szCs w:val="24"/>
                <w:highlight w:val="none"/>
              </w:rPr>
            </w:pPr>
          </w:p>
        </w:tc>
        <w:tc>
          <w:tcPr>
            <w:tcW w:w="1009" w:type="pct"/>
            <w:tcBorders>
              <w:top w:val="single" w:color="auto" w:sz="4" w:space="0"/>
              <w:left w:val="nil"/>
              <w:bottom w:val="single" w:color="auto" w:sz="4" w:space="0"/>
              <w:right w:val="single" w:color="auto" w:sz="4" w:space="0"/>
            </w:tcBorders>
            <w:vAlign w:val="center"/>
          </w:tcPr>
          <w:p w14:paraId="256B87CB">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项目重难点的应对措施</w:t>
            </w:r>
          </w:p>
        </w:tc>
        <w:tc>
          <w:tcPr>
            <w:tcW w:w="2197" w:type="pct"/>
            <w:tcBorders>
              <w:top w:val="single" w:color="auto" w:sz="4" w:space="0"/>
              <w:left w:val="nil"/>
              <w:bottom w:val="single" w:color="auto" w:sz="4" w:space="0"/>
              <w:right w:val="single" w:color="auto" w:sz="4" w:space="0"/>
            </w:tcBorders>
            <w:vAlign w:val="center"/>
          </w:tcPr>
          <w:p w14:paraId="7E0125F8">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评标委员会根据招标文件要求及投标人提供的项目重难点应对措施，进行综合评分：</w:t>
            </w:r>
          </w:p>
          <w:p w14:paraId="572EEA1F">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（1）措施完整详细，可行性、实用性、针对性较强，优于本项目采购需求的，得5分。</w:t>
            </w:r>
          </w:p>
          <w:p w14:paraId="0932CA94">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（2）措施基本完整，具有可行性、实用性、针对性，适合本项目采购需求的，得3分。</w:t>
            </w:r>
          </w:p>
          <w:p w14:paraId="5D75F446">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（3）措施有待提升，可行性、实用性、针对性有待完善，基本适合本项目采购需求的，得1分。</w:t>
            </w:r>
          </w:p>
          <w:p w14:paraId="27B46C14">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（4）方案不可行或未提供的，得0分。</w:t>
            </w:r>
          </w:p>
        </w:tc>
        <w:tc>
          <w:tcPr>
            <w:tcW w:w="927" w:type="pct"/>
            <w:tcBorders>
              <w:top w:val="single" w:color="auto" w:sz="4" w:space="0"/>
              <w:left w:val="nil"/>
              <w:bottom w:val="single" w:color="auto" w:sz="4" w:space="0"/>
              <w:right w:val="single" w:color="auto" w:sz="4" w:space="0"/>
            </w:tcBorders>
            <w:vAlign w:val="center"/>
          </w:tcPr>
          <w:p w14:paraId="59DFD4B2">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color w:val="auto"/>
                <w:sz w:val="24"/>
                <w:szCs w:val="24"/>
                <w:highlight w:val="none"/>
              </w:rPr>
              <w:t>0-5分</w:t>
            </w:r>
          </w:p>
        </w:tc>
      </w:tr>
      <w:tr w14:paraId="0E5F8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nil"/>
              <w:left w:val="single" w:color="auto" w:sz="4" w:space="0"/>
              <w:bottom w:val="single" w:color="auto" w:sz="4" w:space="0"/>
              <w:right w:val="single" w:color="auto" w:sz="4" w:space="0"/>
            </w:tcBorders>
            <w:vAlign w:val="center"/>
          </w:tcPr>
          <w:p w14:paraId="56EECBF1">
            <w:pPr>
              <w:widowControl/>
              <w:jc w:val="left"/>
              <w:rPr>
                <w:rFonts w:hint="eastAsia" w:ascii="宋体" w:hAnsi="宋体" w:eastAsia="宋体" w:cs="Times New Roman"/>
                <w:b/>
                <w:bCs/>
                <w:color w:val="auto"/>
                <w:sz w:val="24"/>
                <w:szCs w:val="24"/>
                <w:highlight w:val="none"/>
              </w:rPr>
            </w:pPr>
          </w:p>
        </w:tc>
        <w:tc>
          <w:tcPr>
            <w:tcW w:w="1009" w:type="pct"/>
            <w:tcBorders>
              <w:top w:val="single" w:color="auto" w:sz="4" w:space="0"/>
              <w:left w:val="nil"/>
              <w:bottom w:val="single" w:color="auto" w:sz="4" w:space="0"/>
              <w:right w:val="single" w:color="auto" w:sz="4" w:space="0"/>
            </w:tcBorders>
            <w:vAlign w:val="center"/>
          </w:tcPr>
          <w:p w14:paraId="7C2721AE">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供货方案</w:t>
            </w:r>
          </w:p>
        </w:tc>
        <w:tc>
          <w:tcPr>
            <w:tcW w:w="2197" w:type="pct"/>
            <w:tcBorders>
              <w:top w:val="single" w:color="auto" w:sz="4" w:space="0"/>
              <w:left w:val="nil"/>
              <w:bottom w:val="single" w:color="auto" w:sz="4" w:space="0"/>
              <w:right w:val="single" w:color="auto" w:sz="4" w:space="0"/>
            </w:tcBorders>
            <w:vAlign w:val="center"/>
          </w:tcPr>
          <w:p w14:paraId="1323C903">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评标委员会根据招标文件要求及投标人提供的供货方案</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lang w:val="en-US" w:eastAsia="zh-CN"/>
              </w:rPr>
              <w:t>包含但不限于货源渠道、供货计划、包装运输、交货期保障、到货验收等</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，进行综合评分：</w:t>
            </w:r>
          </w:p>
          <w:p w14:paraId="02A0EA3C">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（1）方案全面，组织架构科学，人员配置合理，响应时间快，可行性、实用性、针对性较强，优于本项目采购需求的，得5分。</w:t>
            </w:r>
          </w:p>
          <w:p w14:paraId="3EB8039F">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（2）方案较全面，组织架构较合理，人员配置较合理，响应时间较快，具有可行性、实用性、针对性，适合本项目采购需求的，得3分。</w:t>
            </w:r>
          </w:p>
          <w:p w14:paraId="040F3FB7">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（3）方案有待提升，可行性、实用性、针对性有待完善，基本适合本项目采购需求的，得1分。</w:t>
            </w:r>
          </w:p>
          <w:p w14:paraId="1832241F">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（4）方案不可行或未提供的，得0分。</w:t>
            </w:r>
          </w:p>
        </w:tc>
        <w:tc>
          <w:tcPr>
            <w:tcW w:w="927" w:type="pct"/>
            <w:tcBorders>
              <w:top w:val="single" w:color="auto" w:sz="4" w:space="0"/>
              <w:left w:val="nil"/>
              <w:bottom w:val="single" w:color="auto" w:sz="4" w:space="0"/>
              <w:right w:val="single" w:color="auto" w:sz="4" w:space="0"/>
            </w:tcBorders>
            <w:vAlign w:val="center"/>
          </w:tcPr>
          <w:p w14:paraId="48DBC2AB">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0-5分</w:t>
            </w:r>
          </w:p>
        </w:tc>
      </w:tr>
      <w:tr w14:paraId="64E48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nil"/>
              <w:left w:val="single" w:color="auto" w:sz="4" w:space="0"/>
              <w:bottom w:val="single" w:color="auto" w:sz="4" w:space="0"/>
              <w:right w:val="single" w:color="auto" w:sz="4" w:space="0"/>
            </w:tcBorders>
            <w:vAlign w:val="center"/>
          </w:tcPr>
          <w:p w14:paraId="1093BA0A">
            <w:pPr>
              <w:widowControl/>
              <w:jc w:val="left"/>
              <w:rPr>
                <w:rFonts w:hint="eastAsia" w:ascii="宋体" w:hAnsi="宋体" w:eastAsia="宋体" w:cs="Times New Roman"/>
                <w:b/>
                <w:bCs/>
                <w:color w:val="auto"/>
                <w:sz w:val="24"/>
                <w:szCs w:val="24"/>
                <w:highlight w:val="none"/>
              </w:rPr>
            </w:pPr>
          </w:p>
        </w:tc>
        <w:tc>
          <w:tcPr>
            <w:tcW w:w="1009" w:type="pct"/>
            <w:tcBorders>
              <w:top w:val="single" w:color="auto" w:sz="4" w:space="0"/>
              <w:left w:val="nil"/>
              <w:bottom w:val="single" w:color="auto" w:sz="4" w:space="0"/>
              <w:right w:val="single" w:color="auto" w:sz="4" w:space="0"/>
            </w:tcBorders>
            <w:vAlign w:val="center"/>
          </w:tcPr>
          <w:p w14:paraId="6F5EF735">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安装调试方案</w:t>
            </w:r>
          </w:p>
        </w:tc>
        <w:tc>
          <w:tcPr>
            <w:tcW w:w="2197" w:type="pct"/>
            <w:tcBorders>
              <w:top w:val="single" w:color="auto" w:sz="4" w:space="0"/>
              <w:left w:val="nil"/>
              <w:bottom w:val="single" w:color="auto" w:sz="4" w:space="0"/>
              <w:right w:val="single" w:color="auto" w:sz="4" w:space="0"/>
            </w:tcBorders>
            <w:vAlign w:val="center"/>
          </w:tcPr>
          <w:p w14:paraId="7189ADA5">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评标委员会根据投标人提供的安装调试方案</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lang w:val="en-US" w:eastAsia="zh-CN"/>
              </w:rPr>
              <w:t>包含但不限于人员配备、安装调试流程、工期保障、应急预案等</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进行综合评分：</w:t>
            </w:r>
          </w:p>
          <w:p w14:paraId="6A23DADF">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（1）安装调试过程中提供充足的备品备件、辅材，能够在规定时间内完成安装调试任务，优于本项目采购需求的，得5分；</w:t>
            </w:r>
          </w:p>
          <w:p w14:paraId="450867AF">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（2）供货安装过程中提供的备品备件、辅材预留情况基本满足项目需求，能够在规定时间内完成安装调试任务，适合本项目采购需求的，得3分；</w:t>
            </w:r>
          </w:p>
          <w:p w14:paraId="5886C07C">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（3）供货安装过程中提供的备品备件、辅材预留情况有待完善，能够在规定时间内完成安装调试任务的，得1分；</w:t>
            </w:r>
          </w:p>
          <w:p w14:paraId="64766706">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（4）方案不可行或者未提供，得0分。</w:t>
            </w:r>
          </w:p>
        </w:tc>
        <w:tc>
          <w:tcPr>
            <w:tcW w:w="927" w:type="pct"/>
            <w:tcBorders>
              <w:top w:val="single" w:color="auto" w:sz="4" w:space="0"/>
              <w:left w:val="nil"/>
              <w:bottom w:val="single" w:color="auto" w:sz="4" w:space="0"/>
              <w:right w:val="single" w:color="auto" w:sz="4" w:space="0"/>
            </w:tcBorders>
            <w:vAlign w:val="center"/>
          </w:tcPr>
          <w:p w14:paraId="3243B54F">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0-5分</w:t>
            </w:r>
          </w:p>
        </w:tc>
      </w:tr>
      <w:tr w14:paraId="7DFBD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nil"/>
              <w:left w:val="single" w:color="auto" w:sz="4" w:space="0"/>
              <w:bottom w:val="single" w:color="auto" w:sz="4" w:space="0"/>
              <w:right w:val="single" w:color="auto" w:sz="4" w:space="0"/>
            </w:tcBorders>
            <w:vAlign w:val="center"/>
          </w:tcPr>
          <w:p w14:paraId="662FA54A">
            <w:pPr>
              <w:widowControl/>
              <w:jc w:val="left"/>
              <w:rPr>
                <w:rFonts w:hint="eastAsia" w:ascii="宋体" w:hAnsi="宋体" w:eastAsia="宋体" w:cs="Times New Roman"/>
                <w:b/>
                <w:bCs/>
                <w:color w:val="auto"/>
                <w:sz w:val="24"/>
                <w:szCs w:val="24"/>
                <w:highlight w:val="none"/>
              </w:rPr>
            </w:pPr>
          </w:p>
        </w:tc>
        <w:tc>
          <w:tcPr>
            <w:tcW w:w="1009" w:type="pct"/>
            <w:tcBorders>
              <w:top w:val="single" w:color="auto" w:sz="4" w:space="0"/>
              <w:left w:val="nil"/>
              <w:bottom w:val="single" w:color="auto" w:sz="4" w:space="0"/>
              <w:right w:val="single" w:color="auto" w:sz="4" w:space="0"/>
            </w:tcBorders>
            <w:vAlign w:val="center"/>
          </w:tcPr>
          <w:p w14:paraId="26794909">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售后服务方案</w:t>
            </w:r>
          </w:p>
        </w:tc>
        <w:tc>
          <w:tcPr>
            <w:tcW w:w="2197" w:type="pct"/>
            <w:tcBorders>
              <w:top w:val="single" w:color="auto" w:sz="4" w:space="0"/>
              <w:left w:val="nil"/>
              <w:bottom w:val="single" w:color="auto" w:sz="4" w:space="0"/>
              <w:right w:val="single" w:color="auto" w:sz="4" w:space="0"/>
            </w:tcBorders>
            <w:vAlign w:val="center"/>
          </w:tcPr>
          <w:p w14:paraId="44392578">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评标委员会根据招标文件要求及投标人提供的售后服务方案</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lang w:val="en-US" w:eastAsia="zh-CN"/>
              </w:rPr>
              <w:t>包含但不限于备品</w:t>
            </w:r>
            <w:r>
              <w:rPr>
                <w:rFonts w:hint="eastAsia" w:ascii="宋体" w:hAnsi="宋体" w:eastAsia="宋体" w:cs="Times New Roman"/>
                <w:color w:val="auto"/>
                <w:sz w:val="24"/>
                <w:szCs w:val="24"/>
                <w:highlight w:val="none"/>
                <w:lang w:eastAsia="zh-CN"/>
              </w:rPr>
              <w:t>备件、质保期限、响应时间、维修保障、技术培训</w:t>
            </w:r>
            <w:r>
              <w:rPr>
                <w:rFonts w:hint="eastAsia" w:ascii="宋体" w:hAnsi="宋体" w:eastAsia="宋体" w:cs="Times New Roman"/>
                <w:color w:val="auto"/>
                <w:sz w:val="24"/>
                <w:szCs w:val="24"/>
                <w:highlight w:val="none"/>
                <w:lang w:val="en-US" w:eastAsia="zh-CN"/>
              </w:rPr>
              <w:t>等</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，进行综合评分：</w:t>
            </w:r>
          </w:p>
          <w:p w14:paraId="18291F0D">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（1）具有完善的售后服务计划、措施，技术支持快速及时，培训方案完整详细，可行性、实用性、针对性较强，优于本项目采购需求的，得5分；</w:t>
            </w:r>
          </w:p>
          <w:p w14:paraId="1011FFAB">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（2）售后服务计划、措施基本完善，培训内容基本详实，技术支持及时，培训方案基本完整，具有可行性、实用性、针对性，能够保障本项目采购需求的，得3分；</w:t>
            </w:r>
          </w:p>
          <w:p w14:paraId="5F67806A">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（3）售后服务方案、培训方案有待提升，可行性、实用性、针对性有待完善，基本保障本项目采购需求的，得1分；</w:t>
            </w:r>
          </w:p>
          <w:p w14:paraId="0D8D9A6D">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（4）方案不可行或未提供的得0分。</w:t>
            </w:r>
          </w:p>
        </w:tc>
        <w:tc>
          <w:tcPr>
            <w:tcW w:w="927" w:type="pct"/>
            <w:tcBorders>
              <w:top w:val="single" w:color="auto" w:sz="4" w:space="0"/>
              <w:left w:val="nil"/>
              <w:bottom w:val="single" w:color="auto" w:sz="4" w:space="0"/>
              <w:right w:val="single" w:color="auto" w:sz="4" w:space="0"/>
            </w:tcBorders>
            <w:vAlign w:val="center"/>
          </w:tcPr>
          <w:p w14:paraId="43A16BC2">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0-5分</w:t>
            </w:r>
          </w:p>
        </w:tc>
      </w:tr>
      <w:tr w14:paraId="43AE5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nil"/>
              <w:left w:val="single" w:color="auto" w:sz="4" w:space="0"/>
              <w:bottom w:val="single" w:color="auto" w:sz="4" w:space="0"/>
              <w:right w:val="single" w:color="auto" w:sz="4" w:space="0"/>
            </w:tcBorders>
            <w:vAlign w:val="center"/>
          </w:tcPr>
          <w:p w14:paraId="36259B69">
            <w:pPr>
              <w:widowControl/>
              <w:jc w:val="left"/>
              <w:rPr>
                <w:rFonts w:hint="eastAsia" w:ascii="宋体" w:hAnsi="宋体" w:eastAsia="宋体" w:cs="Times New Roman"/>
                <w:b/>
                <w:bCs/>
                <w:color w:val="auto"/>
                <w:sz w:val="24"/>
                <w:szCs w:val="24"/>
                <w:highlight w:val="none"/>
              </w:rPr>
            </w:pPr>
          </w:p>
        </w:tc>
        <w:tc>
          <w:tcPr>
            <w:tcW w:w="1009" w:type="pct"/>
            <w:tcBorders>
              <w:top w:val="single" w:color="auto" w:sz="4" w:space="0"/>
              <w:left w:val="nil"/>
              <w:bottom w:val="single" w:color="auto" w:sz="4" w:space="0"/>
              <w:right w:val="single" w:color="auto" w:sz="4" w:space="0"/>
            </w:tcBorders>
            <w:vAlign w:val="center"/>
          </w:tcPr>
          <w:p w14:paraId="05C22065">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优惠承诺及增值服务</w:t>
            </w:r>
          </w:p>
        </w:tc>
        <w:tc>
          <w:tcPr>
            <w:tcW w:w="2197" w:type="pct"/>
            <w:tcBorders>
              <w:top w:val="single" w:color="auto" w:sz="4" w:space="0"/>
              <w:left w:val="nil"/>
              <w:bottom w:val="single" w:color="auto" w:sz="4" w:space="0"/>
              <w:right w:val="single" w:color="auto" w:sz="4" w:space="0"/>
            </w:tcBorders>
            <w:vAlign w:val="center"/>
          </w:tcPr>
          <w:p w14:paraId="0749B9BC">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评标委员根据投标人提供的优惠承诺及增值服务对于采购人的实际经济效益进行评审：</w:t>
            </w:r>
          </w:p>
          <w:p w14:paraId="4B4D5CF5">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（1）有具体优惠条件及增值服务，且优惠条件及增值服务实用性强，实际价值高的，得5分；</w:t>
            </w:r>
          </w:p>
          <w:p w14:paraId="39DDB449">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（2）有具体的优惠条件及增值服务，且优惠条件及增值服务具有实用性的，得3分；</w:t>
            </w:r>
          </w:p>
          <w:p w14:paraId="0BEBD6A6">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（3）有优惠条件及增值服务，实用性有待提升的，得1分；</w:t>
            </w:r>
          </w:p>
          <w:p w14:paraId="3D886BB3">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（4）未提供的，得0分。</w:t>
            </w:r>
          </w:p>
        </w:tc>
        <w:tc>
          <w:tcPr>
            <w:tcW w:w="927" w:type="pct"/>
            <w:tcBorders>
              <w:top w:val="single" w:color="auto" w:sz="4" w:space="0"/>
              <w:left w:val="nil"/>
              <w:bottom w:val="single" w:color="auto" w:sz="4" w:space="0"/>
              <w:right w:val="single" w:color="auto" w:sz="4" w:space="0"/>
            </w:tcBorders>
            <w:vAlign w:val="center"/>
          </w:tcPr>
          <w:p w14:paraId="5AB83F4A">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color w:val="auto"/>
                <w:sz w:val="24"/>
                <w:szCs w:val="24"/>
                <w:highlight w:val="none"/>
              </w:rPr>
              <w:t>0-5分</w:t>
            </w:r>
          </w:p>
        </w:tc>
      </w:tr>
      <w:tr w14:paraId="76A1C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5" w:type="pct"/>
            <w:tcBorders>
              <w:top w:val="single" w:color="auto" w:sz="4" w:space="0"/>
              <w:left w:val="single" w:color="auto" w:sz="4" w:space="0"/>
              <w:bottom w:val="single" w:color="auto" w:sz="4" w:space="0"/>
              <w:right w:val="single" w:color="auto" w:sz="4" w:space="0"/>
            </w:tcBorders>
            <w:vAlign w:val="center"/>
          </w:tcPr>
          <w:p w14:paraId="23A2B617">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价格分</w:t>
            </w:r>
          </w:p>
          <w:p w14:paraId="573D92C2">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u w:val="single"/>
              </w:rPr>
              <w:t>30</w:t>
            </w:r>
            <w:r>
              <w:rPr>
                <w:rFonts w:hint="eastAsia" w:ascii="宋体" w:hAnsi="宋体" w:eastAsia="宋体" w:cs="Times New Roman"/>
                <w:color w:val="auto"/>
                <w:sz w:val="24"/>
                <w:szCs w:val="24"/>
                <w:highlight w:val="none"/>
              </w:rPr>
              <w:t>分）</w:t>
            </w:r>
          </w:p>
        </w:tc>
        <w:tc>
          <w:tcPr>
            <w:tcW w:w="4134" w:type="pct"/>
            <w:gridSpan w:val="3"/>
            <w:tcBorders>
              <w:top w:val="single" w:color="auto" w:sz="4" w:space="0"/>
              <w:left w:val="nil"/>
              <w:bottom w:val="single" w:color="auto" w:sz="4" w:space="0"/>
              <w:right w:val="single" w:color="auto" w:sz="4" w:space="0"/>
            </w:tcBorders>
            <w:vAlign w:val="center"/>
          </w:tcPr>
          <w:p w14:paraId="1F460C12">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价格分统一采用低价优先法，即满足招标文件要求且投标价格最低的投标报价为评标基准价，其价格分为满分30分。其他投标人的价格分统一按照下列公式计算：</w:t>
            </w:r>
          </w:p>
          <w:p w14:paraId="714DFCEC">
            <w:pPr>
              <w:spacing w:line="360" w:lineRule="auto"/>
              <w:rPr>
                <w:rFonts w:hint="eastAsia" w:ascii="宋体" w:hAnsi="宋体" w:eastAsia="宋体" w:cs="Times New Roman"/>
                <w:b/>
                <w:bCs/>
                <w:color w:val="auto"/>
                <w:sz w:val="24"/>
                <w:szCs w:val="24"/>
                <w:highlight w:val="none"/>
              </w:rPr>
            </w:pPr>
            <w:r>
              <w:rPr>
                <w:rFonts w:hint="eastAsia" w:ascii="宋体" w:hAnsi="宋体" w:eastAsia="宋体" w:cs="Times New Roman"/>
                <w:color w:val="auto"/>
                <w:sz w:val="24"/>
                <w:szCs w:val="24"/>
                <w:highlight w:val="none"/>
              </w:rPr>
              <w:t>投标报价得分＝（评标基准价/投标报价）×30％×100</w:t>
            </w:r>
          </w:p>
        </w:tc>
      </w:tr>
    </w:tbl>
    <w:p w14:paraId="2A9EF4DD">
      <w:pPr>
        <w:spacing w:line="360" w:lineRule="auto"/>
        <w:ind w:firstLine="435"/>
        <w:rPr>
          <w:rFonts w:hint="eastAsia" w:asciiTheme="minorEastAsia" w:hAnsiTheme="minorEastAsia" w:eastAsiaTheme="minorEastAsia"/>
          <w:color w:val="auto"/>
          <w:sz w:val="24"/>
          <w:highlight w:val="none"/>
        </w:rPr>
      </w:pPr>
    </w:p>
    <w:p w14:paraId="6957F437">
      <w:pPr>
        <w:pStyle w:val="2"/>
        <w:keepNext w:val="0"/>
        <w:keepLines w:val="0"/>
        <w:pageBreakBefore w:val="0"/>
        <w:widowControl w:val="0"/>
        <w:kinsoku/>
        <w:wordWrap/>
        <w:overflowPunct/>
        <w:topLinePunct w:val="0"/>
        <w:autoSpaceDE/>
        <w:autoSpaceDN/>
        <w:bidi w:val="0"/>
        <w:adjustRightInd/>
        <w:snapToGrid/>
        <w:ind w:left="0" w:leftChars="0" w:firstLine="0" w:firstLineChars="0"/>
        <w:textAlignment w:val="auto"/>
        <w:outlineLvl w:val="3"/>
        <w:rPr>
          <w:rFonts w:hint="default" w:cs="@仿宋_GB2312" w:asciiTheme="minorEastAsia" w:hAnsiTheme="minorEastAsia" w:eastAsiaTheme="minorEastAsia"/>
          <w:b w:val="0"/>
          <w:color w:val="auto"/>
          <w:kern w:val="2"/>
          <w:sz w:val="24"/>
          <w:szCs w:val="20"/>
          <w:highlight w:val="none"/>
          <w:lang w:val="en-US" w:eastAsia="zh-CN" w:bidi="ar-SA"/>
        </w:rPr>
      </w:pPr>
      <w:r>
        <w:rPr>
          <w:rFonts w:hint="eastAsia" w:cs="@仿宋_GB2312" w:asciiTheme="minorEastAsia" w:hAnsiTheme="minorEastAsia" w:eastAsiaTheme="minorEastAsia"/>
          <w:b w:val="0"/>
          <w:color w:val="auto"/>
          <w:kern w:val="2"/>
          <w:sz w:val="24"/>
          <w:szCs w:val="20"/>
          <w:highlight w:val="none"/>
          <w:lang w:val="en-US" w:eastAsia="zh-CN" w:bidi="ar-SA"/>
        </w:rPr>
        <w:t>05包：</w:t>
      </w:r>
    </w:p>
    <w:tbl>
      <w:tblPr>
        <w:tblStyle w:val="2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75"/>
        <w:gridCol w:w="1720"/>
        <w:gridCol w:w="3745"/>
        <w:gridCol w:w="1582"/>
      </w:tblGrid>
      <w:tr w14:paraId="3D572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865" w:type="pct"/>
            <w:tcBorders>
              <w:top w:val="single" w:color="auto" w:sz="4" w:space="0"/>
              <w:left w:val="single" w:color="auto" w:sz="4" w:space="0"/>
              <w:bottom w:val="single" w:color="auto" w:sz="4" w:space="0"/>
              <w:right w:val="single" w:color="auto" w:sz="4" w:space="0"/>
            </w:tcBorders>
            <w:vAlign w:val="center"/>
          </w:tcPr>
          <w:p w14:paraId="3BD41A2E">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b/>
                <w:bCs/>
                <w:color w:val="auto"/>
                <w:sz w:val="24"/>
                <w:szCs w:val="24"/>
                <w:highlight w:val="none"/>
              </w:rPr>
              <w:t>类别</w:t>
            </w:r>
          </w:p>
        </w:tc>
        <w:tc>
          <w:tcPr>
            <w:tcW w:w="1009" w:type="pct"/>
            <w:tcBorders>
              <w:top w:val="single" w:color="auto" w:sz="4" w:space="0"/>
              <w:left w:val="nil"/>
              <w:bottom w:val="single" w:color="auto" w:sz="4" w:space="0"/>
              <w:right w:val="single" w:color="auto" w:sz="4" w:space="0"/>
            </w:tcBorders>
            <w:vAlign w:val="center"/>
          </w:tcPr>
          <w:p w14:paraId="1B8FCFFD">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b/>
                <w:bCs/>
                <w:color w:val="auto"/>
                <w:sz w:val="24"/>
                <w:szCs w:val="24"/>
                <w:highlight w:val="none"/>
              </w:rPr>
              <w:t>评分内容</w:t>
            </w:r>
          </w:p>
        </w:tc>
        <w:tc>
          <w:tcPr>
            <w:tcW w:w="2197" w:type="pct"/>
            <w:tcBorders>
              <w:top w:val="single" w:color="auto" w:sz="4" w:space="0"/>
              <w:left w:val="nil"/>
              <w:bottom w:val="single" w:color="auto" w:sz="4" w:space="0"/>
              <w:right w:val="single" w:color="auto" w:sz="4" w:space="0"/>
            </w:tcBorders>
            <w:vAlign w:val="center"/>
          </w:tcPr>
          <w:p w14:paraId="4494D5D0">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b/>
                <w:bCs/>
                <w:color w:val="auto"/>
                <w:sz w:val="24"/>
                <w:szCs w:val="24"/>
                <w:highlight w:val="none"/>
              </w:rPr>
              <w:t>评分标准</w:t>
            </w:r>
          </w:p>
        </w:tc>
        <w:tc>
          <w:tcPr>
            <w:tcW w:w="927" w:type="pct"/>
            <w:tcBorders>
              <w:top w:val="single" w:color="auto" w:sz="4" w:space="0"/>
              <w:left w:val="nil"/>
              <w:bottom w:val="single" w:color="auto" w:sz="4" w:space="0"/>
              <w:right w:val="single" w:color="auto" w:sz="4" w:space="0"/>
            </w:tcBorders>
            <w:vAlign w:val="center"/>
          </w:tcPr>
          <w:p w14:paraId="570207D5">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b/>
                <w:bCs/>
                <w:color w:val="auto"/>
                <w:sz w:val="24"/>
                <w:szCs w:val="24"/>
                <w:highlight w:val="none"/>
              </w:rPr>
              <w:t>分值范围</w:t>
            </w:r>
          </w:p>
        </w:tc>
      </w:tr>
      <w:tr w14:paraId="7151A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5" w:type="pct"/>
            <w:vMerge w:val="restart"/>
            <w:tcBorders>
              <w:top w:val="nil"/>
              <w:left w:val="single" w:color="auto" w:sz="4" w:space="0"/>
              <w:bottom w:val="single" w:color="auto" w:sz="4" w:space="0"/>
              <w:right w:val="single" w:color="auto" w:sz="4" w:space="0"/>
            </w:tcBorders>
            <w:vAlign w:val="center"/>
          </w:tcPr>
          <w:p w14:paraId="3A9AEF7A">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技术资信分</w:t>
            </w:r>
          </w:p>
          <w:p w14:paraId="5AED51E7">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u w:val="single"/>
              </w:rPr>
              <w:t>70</w:t>
            </w:r>
            <w:r>
              <w:rPr>
                <w:rFonts w:hint="eastAsia" w:ascii="宋体" w:hAnsi="宋体" w:eastAsia="宋体" w:cs="Times New Roman"/>
                <w:color w:val="auto"/>
                <w:sz w:val="24"/>
                <w:szCs w:val="24"/>
                <w:highlight w:val="none"/>
              </w:rPr>
              <w:t>分）</w:t>
            </w:r>
          </w:p>
        </w:tc>
        <w:tc>
          <w:tcPr>
            <w:tcW w:w="1009" w:type="pct"/>
            <w:tcBorders>
              <w:top w:val="single" w:color="auto" w:sz="4" w:space="0"/>
              <w:left w:val="nil"/>
              <w:bottom w:val="single" w:color="auto" w:sz="4" w:space="0"/>
              <w:right w:val="single" w:color="auto" w:sz="4" w:space="0"/>
            </w:tcBorders>
            <w:vAlign w:val="center"/>
          </w:tcPr>
          <w:p w14:paraId="7481A87E">
            <w:pPr>
              <w:spacing w:line="360" w:lineRule="auto"/>
              <w:jc w:val="center"/>
              <w:rPr>
                <w:rFonts w:hint="eastAsia"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产品业绩</w:t>
            </w:r>
          </w:p>
        </w:tc>
        <w:tc>
          <w:tcPr>
            <w:tcW w:w="2197" w:type="pct"/>
            <w:tcBorders>
              <w:top w:val="single" w:color="auto" w:sz="4" w:space="0"/>
              <w:left w:val="nil"/>
              <w:bottom w:val="single" w:color="auto" w:sz="4" w:space="0"/>
              <w:right w:val="single" w:color="auto" w:sz="4" w:space="0"/>
            </w:tcBorders>
            <w:vAlign w:val="center"/>
          </w:tcPr>
          <w:p w14:paraId="520F8DF0">
            <w:pPr>
              <w:spacing w:line="360" w:lineRule="auto"/>
              <w:rPr>
                <w:rFonts w:hint="eastAsia"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每提供1个自2023年1月1日起（以合同签订时间为准）</w:t>
            </w:r>
            <w:r>
              <w:rPr>
                <w:rFonts w:hint="eastAsia" w:ascii="宋体" w:hAnsi="宋体" w:eastAsia="宋体" w:cs="Times New Roman"/>
                <w:bCs/>
                <w:color w:val="auto"/>
                <w:sz w:val="24"/>
                <w:szCs w:val="24"/>
                <w:highlight w:val="none"/>
              </w:rPr>
              <w:t>核心产品</w:t>
            </w:r>
            <w:r>
              <w:rPr>
                <w:rFonts w:hint="eastAsia" w:ascii="宋体" w:hAnsi="宋体" w:eastAsia="宋体" w:cs="Times New Roman"/>
                <w:bCs/>
                <w:color w:val="auto"/>
                <w:sz w:val="24"/>
                <w:szCs w:val="24"/>
                <w:highlight w:val="none"/>
              </w:rPr>
              <w:t>为医疗机构供货的业绩，得2分，满分</w:t>
            </w:r>
            <w:r>
              <w:rPr>
                <w:rFonts w:hint="eastAsia" w:ascii="宋体" w:hAnsi="宋体" w:eastAsia="宋体" w:cs="Times New Roman"/>
                <w:bCs/>
                <w:color w:val="auto"/>
                <w:sz w:val="24"/>
                <w:szCs w:val="24"/>
                <w:highlight w:val="none"/>
                <w:lang w:val="en-US" w:eastAsia="zh-CN"/>
              </w:rPr>
              <w:t>4</w:t>
            </w:r>
            <w:r>
              <w:rPr>
                <w:rFonts w:hint="eastAsia" w:ascii="宋体" w:hAnsi="宋体" w:eastAsia="宋体" w:cs="Times New Roman"/>
                <w:bCs/>
                <w:color w:val="auto"/>
                <w:sz w:val="24"/>
                <w:szCs w:val="24"/>
                <w:highlight w:val="none"/>
              </w:rPr>
              <w:t>分。</w:t>
            </w:r>
          </w:p>
          <w:p w14:paraId="7AB94DBD">
            <w:pPr>
              <w:spacing w:line="360" w:lineRule="auto"/>
              <w:rPr>
                <w:rFonts w:hint="eastAsia"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注：（1）提供合同扫描件（体现合同签订时间、核心产品、合同甲方等评审因素；业绩合同乙方主体不限，合同甲方主体须为医疗机构）；（2）如上述业绩证明材料不能体现相应评审因素，需同时提供业绩合同甲方（或合同业主）盖章证明材料，否则不得分。</w:t>
            </w:r>
          </w:p>
        </w:tc>
        <w:tc>
          <w:tcPr>
            <w:tcW w:w="927" w:type="pct"/>
            <w:tcBorders>
              <w:top w:val="single" w:color="auto" w:sz="4" w:space="0"/>
              <w:left w:val="nil"/>
              <w:bottom w:val="single" w:color="auto" w:sz="4" w:space="0"/>
              <w:right w:val="single" w:color="auto" w:sz="4" w:space="0"/>
            </w:tcBorders>
            <w:vAlign w:val="center"/>
          </w:tcPr>
          <w:p w14:paraId="4313E704">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0-</w:t>
            </w:r>
            <w:r>
              <w:rPr>
                <w:rFonts w:hint="eastAsia" w:ascii="宋体" w:hAnsi="宋体" w:eastAsia="宋体" w:cs="Times New Roman"/>
                <w:color w:val="auto"/>
                <w:sz w:val="24"/>
                <w:szCs w:val="24"/>
                <w:highlight w:val="none"/>
                <w:lang w:val="en-US" w:eastAsia="zh-CN"/>
              </w:rPr>
              <w:t>4</w:t>
            </w:r>
            <w:r>
              <w:rPr>
                <w:rFonts w:hint="eastAsia" w:ascii="宋体" w:hAnsi="宋体" w:eastAsia="宋体" w:cs="Times New Roman"/>
                <w:color w:val="auto"/>
                <w:sz w:val="24"/>
                <w:szCs w:val="24"/>
                <w:highlight w:val="none"/>
              </w:rPr>
              <w:t>分</w:t>
            </w:r>
          </w:p>
        </w:tc>
      </w:tr>
      <w:tr w14:paraId="3C06F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nil"/>
              <w:left w:val="single" w:color="auto" w:sz="4" w:space="0"/>
              <w:bottom w:val="single" w:color="auto" w:sz="4" w:space="0"/>
              <w:right w:val="single" w:color="auto" w:sz="4" w:space="0"/>
            </w:tcBorders>
            <w:vAlign w:val="center"/>
          </w:tcPr>
          <w:p w14:paraId="2173DAC9">
            <w:pPr>
              <w:widowControl/>
              <w:jc w:val="left"/>
              <w:rPr>
                <w:rFonts w:hint="eastAsia" w:ascii="宋体" w:hAnsi="宋体" w:eastAsia="宋体" w:cs="Times New Roman"/>
                <w:b/>
                <w:bCs/>
                <w:color w:val="auto"/>
                <w:sz w:val="24"/>
                <w:szCs w:val="24"/>
                <w:highlight w:val="none"/>
              </w:rPr>
            </w:pPr>
          </w:p>
        </w:tc>
        <w:tc>
          <w:tcPr>
            <w:tcW w:w="1009" w:type="pct"/>
            <w:tcBorders>
              <w:top w:val="single" w:color="auto" w:sz="4" w:space="0"/>
              <w:left w:val="nil"/>
              <w:bottom w:val="single" w:color="auto" w:sz="4" w:space="0"/>
              <w:right w:val="single" w:color="auto" w:sz="4" w:space="0"/>
            </w:tcBorders>
            <w:vAlign w:val="center"/>
          </w:tcPr>
          <w:p w14:paraId="280063D5">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技术参数及要求响应情况</w:t>
            </w:r>
          </w:p>
        </w:tc>
        <w:tc>
          <w:tcPr>
            <w:tcW w:w="2197" w:type="pct"/>
            <w:tcBorders>
              <w:top w:val="single" w:color="auto" w:sz="4" w:space="0"/>
              <w:left w:val="nil"/>
              <w:bottom w:val="single" w:color="auto" w:sz="4" w:space="0"/>
              <w:right w:val="single" w:color="auto" w:sz="4" w:space="0"/>
            </w:tcBorders>
            <w:vAlign w:val="center"/>
          </w:tcPr>
          <w:p w14:paraId="19092BB6">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根据投标人对招标文件的《第三章 采购需求》中“二、货物需求一览表”的技术参数及要求响应情况进行评分：</w:t>
            </w:r>
          </w:p>
          <w:p w14:paraId="18044171">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（1）标注“</w:t>
            </w:r>
            <w:r>
              <w:rPr>
                <w:rFonts w:hint="eastAsia" w:ascii="宋体" w:hAnsi="宋体" w:eastAsia="宋体" w:cs="Times New Roman"/>
                <w:color w:val="auto"/>
                <w:sz w:val="24"/>
                <w:szCs w:val="24"/>
                <w:highlight w:val="none"/>
                <w:lang w:val="en-US" w:eastAsia="zh-CN"/>
              </w:rPr>
              <w:t>★</w:t>
            </w:r>
            <w:r>
              <w:rPr>
                <w:rFonts w:hint="eastAsia" w:ascii="宋体" w:hAnsi="宋体" w:eastAsia="宋体" w:cs="Times New Roman"/>
                <w:color w:val="auto"/>
                <w:sz w:val="24"/>
                <w:szCs w:val="24"/>
                <w:highlight w:val="none"/>
              </w:rPr>
              <w:t>”的技术参数，存在负偏离的投标将被否决。</w:t>
            </w:r>
          </w:p>
          <w:p w14:paraId="6BD557A4">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lang w:val="en-US" w:eastAsia="zh-CN"/>
              </w:rPr>
              <w:t>2</w:t>
            </w:r>
            <w:r>
              <w:rPr>
                <w:rFonts w:hint="eastAsia" w:ascii="宋体" w:hAnsi="宋体" w:eastAsia="宋体" w:cs="Times New Roman"/>
                <w:color w:val="auto"/>
                <w:sz w:val="24"/>
                <w:szCs w:val="24"/>
                <w:highlight w:val="none"/>
              </w:rPr>
              <w:t>）标注“▲”的技术参数，每一项负偏离扣2分，</w:t>
            </w:r>
            <w:r>
              <w:rPr>
                <w:rFonts w:hint="eastAsia" w:ascii="宋体" w:hAnsi="宋体" w:eastAsia="宋体" w:cs="Times New Roman"/>
                <w:color w:val="auto"/>
                <w:sz w:val="24"/>
                <w:szCs w:val="24"/>
                <w:highlight w:val="none"/>
                <w:lang w:val="en-US" w:eastAsia="zh-CN"/>
              </w:rPr>
              <w:t>10</w:t>
            </w:r>
            <w:r>
              <w:rPr>
                <w:rFonts w:hint="eastAsia" w:ascii="宋体" w:hAnsi="宋体" w:eastAsia="宋体" w:cs="Times New Roman"/>
                <w:color w:val="auto"/>
                <w:sz w:val="24"/>
                <w:szCs w:val="24"/>
                <w:highlight w:val="none"/>
              </w:rPr>
              <w:t>项（不含）以上存在负偏离的投标将被否决，本小项满分</w:t>
            </w:r>
            <w:r>
              <w:rPr>
                <w:rFonts w:hint="eastAsia" w:ascii="宋体" w:hAnsi="宋体" w:eastAsia="宋体" w:cs="Times New Roman"/>
                <w:color w:val="auto"/>
                <w:sz w:val="24"/>
                <w:szCs w:val="24"/>
                <w:highlight w:val="none"/>
                <w:lang w:val="en-US" w:eastAsia="zh-CN"/>
              </w:rPr>
              <w:t>20</w:t>
            </w:r>
            <w:r>
              <w:rPr>
                <w:rFonts w:hint="eastAsia" w:ascii="宋体" w:hAnsi="宋体" w:eastAsia="宋体" w:cs="Times New Roman"/>
                <w:color w:val="auto"/>
                <w:sz w:val="24"/>
                <w:szCs w:val="24"/>
                <w:highlight w:val="none"/>
              </w:rPr>
              <w:t>分。</w:t>
            </w:r>
          </w:p>
          <w:p w14:paraId="36A89B37">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（2）未标注“▲”的技术参数要求，每一项负偏离扣1分，</w:t>
            </w:r>
            <w:r>
              <w:rPr>
                <w:rFonts w:hint="eastAsia" w:ascii="宋体" w:hAnsi="宋体" w:eastAsia="宋体" w:cs="Times New Roman"/>
                <w:color w:val="auto"/>
                <w:sz w:val="24"/>
                <w:szCs w:val="24"/>
                <w:highlight w:val="none"/>
                <w:lang w:val="en-US" w:eastAsia="zh-CN"/>
              </w:rPr>
              <w:t>21</w:t>
            </w:r>
            <w:r>
              <w:rPr>
                <w:rFonts w:hint="eastAsia" w:ascii="宋体" w:hAnsi="宋体" w:eastAsia="宋体" w:cs="Times New Roman"/>
                <w:color w:val="auto"/>
                <w:sz w:val="24"/>
                <w:szCs w:val="24"/>
                <w:highlight w:val="none"/>
              </w:rPr>
              <w:t>项（不含）以上存在负偏离的投标将被否决，本小项满分</w:t>
            </w:r>
            <w:r>
              <w:rPr>
                <w:rFonts w:hint="eastAsia" w:ascii="宋体" w:hAnsi="宋体" w:eastAsia="宋体" w:cs="Times New Roman"/>
                <w:color w:val="auto"/>
                <w:sz w:val="24"/>
                <w:szCs w:val="24"/>
                <w:highlight w:val="none"/>
                <w:lang w:val="en-US" w:eastAsia="zh-CN"/>
              </w:rPr>
              <w:t>21</w:t>
            </w:r>
            <w:r>
              <w:rPr>
                <w:rFonts w:hint="eastAsia" w:ascii="宋体" w:hAnsi="宋体" w:eastAsia="宋体" w:cs="Times New Roman"/>
                <w:color w:val="auto"/>
                <w:sz w:val="24"/>
                <w:szCs w:val="24"/>
                <w:highlight w:val="none"/>
              </w:rPr>
              <w:t>分。</w:t>
            </w:r>
          </w:p>
          <w:p w14:paraId="44A9B2D8">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注：以投标响应表中的技术响应表和采购需求中要求提供的证明材料作为评审依据。</w:t>
            </w:r>
          </w:p>
        </w:tc>
        <w:tc>
          <w:tcPr>
            <w:tcW w:w="927" w:type="pct"/>
            <w:tcBorders>
              <w:top w:val="single" w:color="auto" w:sz="4" w:space="0"/>
              <w:left w:val="nil"/>
              <w:bottom w:val="single" w:color="auto" w:sz="4" w:space="0"/>
              <w:right w:val="single" w:color="auto" w:sz="4" w:space="0"/>
            </w:tcBorders>
            <w:vAlign w:val="center"/>
          </w:tcPr>
          <w:p w14:paraId="157AAAA8">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color w:val="auto"/>
                <w:sz w:val="24"/>
                <w:szCs w:val="24"/>
                <w:highlight w:val="none"/>
              </w:rPr>
              <w:t>0-</w:t>
            </w:r>
            <w:r>
              <w:rPr>
                <w:rFonts w:hint="eastAsia" w:ascii="宋体" w:hAnsi="宋体" w:eastAsia="宋体" w:cs="Times New Roman"/>
                <w:color w:val="auto"/>
                <w:sz w:val="24"/>
                <w:szCs w:val="24"/>
                <w:highlight w:val="none"/>
                <w:lang w:val="en-US" w:eastAsia="zh-CN"/>
              </w:rPr>
              <w:t>41</w:t>
            </w:r>
            <w:r>
              <w:rPr>
                <w:rFonts w:hint="eastAsia" w:ascii="宋体" w:hAnsi="宋体" w:eastAsia="宋体" w:cs="Times New Roman"/>
                <w:color w:val="auto"/>
                <w:sz w:val="24"/>
                <w:szCs w:val="24"/>
                <w:highlight w:val="none"/>
              </w:rPr>
              <w:t>分</w:t>
            </w:r>
          </w:p>
        </w:tc>
      </w:tr>
      <w:tr w14:paraId="764F4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nil"/>
              <w:left w:val="single" w:color="auto" w:sz="4" w:space="0"/>
              <w:bottom w:val="single" w:color="auto" w:sz="4" w:space="0"/>
              <w:right w:val="single" w:color="auto" w:sz="4" w:space="0"/>
            </w:tcBorders>
            <w:vAlign w:val="center"/>
          </w:tcPr>
          <w:p w14:paraId="45FEA4BD">
            <w:pPr>
              <w:widowControl/>
              <w:jc w:val="left"/>
              <w:rPr>
                <w:rFonts w:hint="eastAsia" w:ascii="宋体" w:hAnsi="宋体" w:eastAsia="宋体" w:cs="Times New Roman"/>
                <w:b/>
                <w:bCs/>
                <w:color w:val="auto"/>
                <w:sz w:val="24"/>
                <w:szCs w:val="24"/>
                <w:highlight w:val="none"/>
              </w:rPr>
            </w:pPr>
          </w:p>
        </w:tc>
        <w:tc>
          <w:tcPr>
            <w:tcW w:w="1009" w:type="pct"/>
            <w:tcBorders>
              <w:top w:val="single" w:color="auto" w:sz="4" w:space="0"/>
              <w:left w:val="nil"/>
              <w:bottom w:val="single" w:color="auto" w:sz="4" w:space="0"/>
              <w:right w:val="single" w:color="auto" w:sz="4" w:space="0"/>
            </w:tcBorders>
            <w:vAlign w:val="center"/>
          </w:tcPr>
          <w:p w14:paraId="5D495CE3">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项目重难点的应对措施</w:t>
            </w:r>
          </w:p>
        </w:tc>
        <w:tc>
          <w:tcPr>
            <w:tcW w:w="2197" w:type="pct"/>
            <w:tcBorders>
              <w:top w:val="single" w:color="auto" w:sz="4" w:space="0"/>
              <w:left w:val="nil"/>
              <w:bottom w:val="single" w:color="auto" w:sz="4" w:space="0"/>
              <w:right w:val="single" w:color="auto" w:sz="4" w:space="0"/>
            </w:tcBorders>
            <w:vAlign w:val="center"/>
          </w:tcPr>
          <w:p w14:paraId="2F4DAA7E">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评标委员会根据招标文件要求及投标人提供的项目重难点应对措施，进行综合评分：</w:t>
            </w:r>
          </w:p>
          <w:p w14:paraId="6875707E">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（1）措施完整详细，可行性、实用性、针对性较强，优于本项目采购需求的，得5分。</w:t>
            </w:r>
          </w:p>
          <w:p w14:paraId="5C7C1282">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（2）措施基本完整，具有可行性、实用性、针对性，适合本项目采购需求的，得3分。</w:t>
            </w:r>
          </w:p>
          <w:p w14:paraId="64338CD0">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（3）措施有待提升，可行性、实用性、针对性有待完善，基本适合本项目采购需求的，得1分。</w:t>
            </w:r>
          </w:p>
          <w:p w14:paraId="2827845A">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（4）方案不可行或未提供的，得0分。</w:t>
            </w:r>
          </w:p>
        </w:tc>
        <w:tc>
          <w:tcPr>
            <w:tcW w:w="927" w:type="pct"/>
            <w:tcBorders>
              <w:top w:val="single" w:color="auto" w:sz="4" w:space="0"/>
              <w:left w:val="nil"/>
              <w:bottom w:val="single" w:color="auto" w:sz="4" w:space="0"/>
              <w:right w:val="single" w:color="auto" w:sz="4" w:space="0"/>
            </w:tcBorders>
            <w:vAlign w:val="center"/>
          </w:tcPr>
          <w:p w14:paraId="4D206D7A">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color w:val="auto"/>
                <w:sz w:val="24"/>
                <w:szCs w:val="24"/>
                <w:highlight w:val="none"/>
              </w:rPr>
              <w:t>0-5分</w:t>
            </w:r>
          </w:p>
        </w:tc>
      </w:tr>
      <w:tr w14:paraId="1DFB3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nil"/>
              <w:left w:val="single" w:color="auto" w:sz="4" w:space="0"/>
              <w:bottom w:val="single" w:color="auto" w:sz="4" w:space="0"/>
              <w:right w:val="single" w:color="auto" w:sz="4" w:space="0"/>
            </w:tcBorders>
            <w:vAlign w:val="center"/>
          </w:tcPr>
          <w:p w14:paraId="4D5C471B">
            <w:pPr>
              <w:widowControl/>
              <w:jc w:val="left"/>
              <w:rPr>
                <w:rFonts w:hint="eastAsia" w:ascii="宋体" w:hAnsi="宋体" w:eastAsia="宋体" w:cs="Times New Roman"/>
                <w:b/>
                <w:bCs/>
                <w:color w:val="auto"/>
                <w:sz w:val="24"/>
                <w:szCs w:val="24"/>
                <w:highlight w:val="none"/>
              </w:rPr>
            </w:pPr>
          </w:p>
        </w:tc>
        <w:tc>
          <w:tcPr>
            <w:tcW w:w="1009" w:type="pct"/>
            <w:tcBorders>
              <w:top w:val="single" w:color="auto" w:sz="4" w:space="0"/>
              <w:left w:val="nil"/>
              <w:bottom w:val="single" w:color="auto" w:sz="4" w:space="0"/>
              <w:right w:val="single" w:color="auto" w:sz="4" w:space="0"/>
            </w:tcBorders>
            <w:vAlign w:val="center"/>
          </w:tcPr>
          <w:p w14:paraId="59D6C5D2">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供货方案</w:t>
            </w:r>
          </w:p>
        </w:tc>
        <w:tc>
          <w:tcPr>
            <w:tcW w:w="2197" w:type="pct"/>
            <w:tcBorders>
              <w:top w:val="single" w:color="auto" w:sz="4" w:space="0"/>
              <w:left w:val="nil"/>
              <w:bottom w:val="single" w:color="auto" w:sz="4" w:space="0"/>
              <w:right w:val="single" w:color="auto" w:sz="4" w:space="0"/>
            </w:tcBorders>
            <w:vAlign w:val="center"/>
          </w:tcPr>
          <w:p w14:paraId="5E1A622E">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评标委员会根据招标文件要求及投标人提供的供货方案</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lang w:val="en-US" w:eastAsia="zh-CN"/>
              </w:rPr>
              <w:t>包含但不限于交期计划、设备防护运输、到货验收等</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，进行综合评分：</w:t>
            </w:r>
          </w:p>
          <w:p w14:paraId="15EC0351">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（1）方案全面，组织架构科学，人员配置合理，响应时间快，可行性、实用性、针对性较强，优于本项目采购需求的，得5分。</w:t>
            </w:r>
          </w:p>
          <w:p w14:paraId="0E69F3AF">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（2）方案较全面，组织架构较合理，人员配置较合理，响应时间较快，具有可行性、实用性、针对性，适合本项目采购需求的，得3分。</w:t>
            </w:r>
          </w:p>
          <w:p w14:paraId="55CF52BE">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（3）方案有待提升，可行性、实用性、针对性有待完善，基本适合本项目采购需求的，得1分。</w:t>
            </w:r>
          </w:p>
          <w:p w14:paraId="6AD81A97">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（4）方案不可行或未提供的，得0分。</w:t>
            </w:r>
          </w:p>
        </w:tc>
        <w:tc>
          <w:tcPr>
            <w:tcW w:w="927" w:type="pct"/>
            <w:tcBorders>
              <w:top w:val="single" w:color="auto" w:sz="4" w:space="0"/>
              <w:left w:val="nil"/>
              <w:bottom w:val="single" w:color="auto" w:sz="4" w:space="0"/>
              <w:right w:val="single" w:color="auto" w:sz="4" w:space="0"/>
            </w:tcBorders>
            <w:vAlign w:val="center"/>
          </w:tcPr>
          <w:p w14:paraId="03020BB8">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0-5分</w:t>
            </w:r>
          </w:p>
        </w:tc>
      </w:tr>
      <w:tr w14:paraId="19B2C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nil"/>
              <w:left w:val="single" w:color="auto" w:sz="4" w:space="0"/>
              <w:bottom w:val="single" w:color="auto" w:sz="4" w:space="0"/>
              <w:right w:val="single" w:color="auto" w:sz="4" w:space="0"/>
            </w:tcBorders>
            <w:vAlign w:val="center"/>
          </w:tcPr>
          <w:p w14:paraId="1E01C44E">
            <w:pPr>
              <w:widowControl/>
              <w:jc w:val="left"/>
              <w:rPr>
                <w:rFonts w:hint="eastAsia" w:ascii="宋体" w:hAnsi="宋体" w:eastAsia="宋体" w:cs="Times New Roman"/>
                <w:b/>
                <w:bCs/>
                <w:color w:val="auto"/>
                <w:sz w:val="24"/>
                <w:szCs w:val="24"/>
                <w:highlight w:val="none"/>
              </w:rPr>
            </w:pPr>
          </w:p>
        </w:tc>
        <w:tc>
          <w:tcPr>
            <w:tcW w:w="1009" w:type="pct"/>
            <w:tcBorders>
              <w:top w:val="single" w:color="auto" w:sz="4" w:space="0"/>
              <w:left w:val="nil"/>
              <w:bottom w:val="single" w:color="auto" w:sz="4" w:space="0"/>
              <w:right w:val="single" w:color="auto" w:sz="4" w:space="0"/>
            </w:tcBorders>
            <w:vAlign w:val="center"/>
          </w:tcPr>
          <w:p w14:paraId="26A6F997">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安装调试方案</w:t>
            </w:r>
          </w:p>
        </w:tc>
        <w:tc>
          <w:tcPr>
            <w:tcW w:w="2197" w:type="pct"/>
            <w:tcBorders>
              <w:top w:val="single" w:color="auto" w:sz="4" w:space="0"/>
              <w:left w:val="nil"/>
              <w:bottom w:val="single" w:color="auto" w:sz="4" w:space="0"/>
              <w:right w:val="single" w:color="auto" w:sz="4" w:space="0"/>
            </w:tcBorders>
            <w:vAlign w:val="center"/>
          </w:tcPr>
          <w:p w14:paraId="5F922BF4">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评标委员会根据投标人提供的安装调试方案</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lang w:val="en-US" w:eastAsia="zh-CN"/>
              </w:rPr>
              <w:t>包含但不限于机房布线、质量校准、影像系统联调等</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进行综合评分：</w:t>
            </w:r>
          </w:p>
          <w:p w14:paraId="21391A45">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（1）安装调试过程中提供充足的备品备件、辅材，能够在规定时间内完成安装调试任务，优于本项目采购需求的，得5分；</w:t>
            </w:r>
          </w:p>
          <w:p w14:paraId="44C795CE">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（2）供货安装过程中提供的备品备件、辅材预留情况基本满足项目需求，能够在规定时间内完成安装调试任务，适合本项目采购需求的，得3分；</w:t>
            </w:r>
          </w:p>
          <w:p w14:paraId="42D575C3">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（3）供货安装过程中提供的备品备件、辅材预留情况有待完善，能够在规定时间内完成安装调试任务的，得1分；</w:t>
            </w:r>
          </w:p>
          <w:p w14:paraId="6A4DF848">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（4）方案不可行或者未提供，得0分。</w:t>
            </w:r>
          </w:p>
        </w:tc>
        <w:tc>
          <w:tcPr>
            <w:tcW w:w="927" w:type="pct"/>
            <w:tcBorders>
              <w:top w:val="single" w:color="auto" w:sz="4" w:space="0"/>
              <w:left w:val="nil"/>
              <w:bottom w:val="single" w:color="auto" w:sz="4" w:space="0"/>
              <w:right w:val="single" w:color="auto" w:sz="4" w:space="0"/>
            </w:tcBorders>
            <w:vAlign w:val="center"/>
          </w:tcPr>
          <w:p w14:paraId="6A7D3C41">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0-5分</w:t>
            </w:r>
          </w:p>
        </w:tc>
      </w:tr>
      <w:tr w14:paraId="7BA88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nil"/>
              <w:left w:val="single" w:color="auto" w:sz="4" w:space="0"/>
              <w:bottom w:val="single" w:color="auto" w:sz="4" w:space="0"/>
              <w:right w:val="single" w:color="auto" w:sz="4" w:space="0"/>
            </w:tcBorders>
            <w:vAlign w:val="center"/>
          </w:tcPr>
          <w:p w14:paraId="57382AF2">
            <w:pPr>
              <w:widowControl/>
              <w:jc w:val="left"/>
              <w:rPr>
                <w:rFonts w:hint="eastAsia" w:ascii="宋体" w:hAnsi="宋体" w:eastAsia="宋体" w:cs="Times New Roman"/>
                <w:b/>
                <w:bCs/>
                <w:color w:val="auto"/>
                <w:sz w:val="24"/>
                <w:szCs w:val="24"/>
                <w:highlight w:val="none"/>
              </w:rPr>
            </w:pPr>
          </w:p>
        </w:tc>
        <w:tc>
          <w:tcPr>
            <w:tcW w:w="1009" w:type="pct"/>
            <w:tcBorders>
              <w:top w:val="single" w:color="auto" w:sz="4" w:space="0"/>
              <w:left w:val="nil"/>
              <w:bottom w:val="single" w:color="auto" w:sz="4" w:space="0"/>
              <w:right w:val="single" w:color="auto" w:sz="4" w:space="0"/>
            </w:tcBorders>
            <w:vAlign w:val="center"/>
          </w:tcPr>
          <w:p w14:paraId="4A4C1C31">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售后服务方案</w:t>
            </w:r>
          </w:p>
        </w:tc>
        <w:tc>
          <w:tcPr>
            <w:tcW w:w="2197" w:type="pct"/>
            <w:tcBorders>
              <w:top w:val="single" w:color="auto" w:sz="4" w:space="0"/>
              <w:left w:val="nil"/>
              <w:bottom w:val="single" w:color="auto" w:sz="4" w:space="0"/>
              <w:right w:val="single" w:color="auto" w:sz="4" w:space="0"/>
            </w:tcBorders>
            <w:vAlign w:val="center"/>
          </w:tcPr>
          <w:p w14:paraId="3533D6BD">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评标委员会根据招标文件要求及投标人提供的售后服务方案</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lang w:val="en-US" w:eastAsia="zh-CN"/>
              </w:rPr>
              <w:t>包含但不限于故障响应、备件储备、定期质控巡检、设备操作维保培训等</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，进行综合评分：</w:t>
            </w:r>
          </w:p>
          <w:p w14:paraId="7F70A717">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（1）具有完善的售后服务计划、措施，技术支持快速及时，培训方案完整详细，可行性、实用性、针对性较强，优于本项目采购需求的，得5分；</w:t>
            </w:r>
          </w:p>
          <w:p w14:paraId="65C8DEB0">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（2）售后服务计划、措施基本完善，培训内容基本详实，技术支持及时，培训方案基本完整，具有可行性、实用性、针对性，能够保障本项目采购需求的，得3分；</w:t>
            </w:r>
          </w:p>
          <w:p w14:paraId="61EAD710">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（3）售后服务方案、培训方案有待提升，可行性、实用性、针对性有待完善，基本保障本项目采购需求的，得1分；</w:t>
            </w:r>
          </w:p>
          <w:p w14:paraId="11A71FF6">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（4）方案不可行或未提供的得0分。</w:t>
            </w:r>
          </w:p>
        </w:tc>
        <w:tc>
          <w:tcPr>
            <w:tcW w:w="927" w:type="pct"/>
            <w:tcBorders>
              <w:top w:val="single" w:color="auto" w:sz="4" w:space="0"/>
              <w:left w:val="nil"/>
              <w:bottom w:val="single" w:color="auto" w:sz="4" w:space="0"/>
              <w:right w:val="single" w:color="auto" w:sz="4" w:space="0"/>
            </w:tcBorders>
            <w:vAlign w:val="center"/>
          </w:tcPr>
          <w:p w14:paraId="5A34BE9A">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0-5分</w:t>
            </w:r>
          </w:p>
        </w:tc>
      </w:tr>
      <w:tr w14:paraId="5D447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nil"/>
              <w:left w:val="single" w:color="auto" w:sz="4" w:space="0"/>
              <w:bottom w:val="single" w:color="auto" w:sz="4" w:space="0"/>
              <w:right w:val="single" w:color="auto" w:sz="4" w:space="0"/>
            </w:tcBorders>
            <w:vAlign w:val="center"/>
          </w:tcPr>
          <w:p w14:paraId="6A3FDB57">
            <w:pPr>
              <w:widowControl/>
              <w:jc w:val="left"/>
              <w:rPr>
                <w:rFonts w:hint="eastAsia" w:ascii="宋体" w:hAnsi="宋体" w:eastAsia="宋体" w:cs="Times New Roman"/>
                <w:b/>
                <w:bCs/>
                <w:color w:val="auto"/>
                <w:sz w:val="24"/>
                <w:szCs w:val="24"/>
                <w:highlight w:val="none"/>
              </w:rPr>
            </w:pPr>
          </w:p>
        </w:tc>
        <w:tc>
          <w:tcPr>
            <w:tcW w:w="1009" w:type="pct"/>
            <w:tcBorders>
              <w:top w:val="single" w:color="auto" w:sz="4" w:space="0"/>
              <w:left w:val="nil"/>
              <w:bottom w:val="single" w:color="auto" w:sz="4" w:space="0"/>
              <w:right w:val="single" w:color="auto" w:sz="4" w:space="0"/>
            </w:tcBorders>
            <w:vAlign w:val="center"/>
          </w:tcPr>
          <w:p w14:paraId="198C9E7D">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优惠承诺及增值服务</w:t>
            </w:r>
          </w:p>
        </w:tc>
        <w:tc>
          <w:tcPr>
            <w:tcW w:w="2197" w:type="pct"/>
            <w:tcBorders>
              <w:top w:val="single" w:color="auto" w:sz="4" w:space="0"/>
              <w:left w:val="nil"/>
              <w:bottom w:val="single" w:color="auto" w:sz="4" w:space="0"/>
              <w:right w:val="single" w:color="auto" w:sz="4" w:space="0"/>
            </w:tcBorders>
            <w:vAlign w:val="center"/>
          </w:tcPr>
          <w:p w14:paraId="7476533E">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评标委员根据投标人提供的优惠承诺及增值服务对于采购人的实际经济效益进行评审：</w:t>
            </w:r>
          </w:p>
          <w:p w14:paraId="067A8205">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（1）有具体优惠条件及增值服务，且优惠条件及增值服务实用性强，实际价值高的，得5分；</w:t>
            </w:r>
          </w:p>
          <w:p w14:paraId="32E134FB">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（2）有具体的优惠条件及增值服务，且优惠条件及增值服务具有实用性的，得3分；</w:t>
            </w:r>
          </w:p>
          <w:p w14:paraId="7A7711C5">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（3）有优惠条件及增值服务，实用性有待提升的，得1分；</w:t>
            </w:r>
          </w:p>
          <w:p w14:paraId="3FC7E266">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（4）未提供的，得0分。</w:t>
            </w:r>
          </w:p>
        </w:tc>
        <w:tc>
          <w:tcPr>
            <w:tcW w:w="927" w:type="pct"/>
            <w:tcBorders>
              <w:top w:val="single" w:color="auto" w:sz="4" w:space="0"/>
              <w:left w:val="nil"/>
              <w:bottom w:val="single" w:color="auto" w:sz="4" w:space="0"/>
              <w:right w:val="single" w:color="auto" w:sz="4" w:space="0"/>
            </w:tcBorders>
            <w:vAlign w:val="center"/>
          </w:tcPr>
          <w:p w14:paraId="053407A8">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color w:val="auto"/>
                <w:sz w:val="24"/>
                <w:szCs w:val="24"/>
                <w:highlight w:val="none"/>
              </w:rPr>
              <w:t>0-5分</w:t>
            </w:r>
          </w:p>
        </w:tc>
      </w:tr>
      <w:tr w14:paraId="77056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5" w:type="pct"/>
            <w:tcBorders>
              <w:top w:val="single" w:color="auto" w:sz="4" w:space="0"/>
              <w:left w:val="single" w:color="auto" w:sz="4" w:space="0"/>
              <w:bottom w:val="single" w:color="auto" w:sz="4" w:space="0"/>
              <w:right w:val="single" w:color="auto" w:sz="4" w:space="0"/>
            </w:tcBorders>
            <w:vAlign w:val="center"/>
          </w:tcPr>
          <w:p w14:paraId="528CA958">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价格分</w:t>
            </w:r>
          </w:p>
          <w:p w14:paraId="3D88F6FC">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u w:val="single"/>
              </w:rPr>
              <w:t>30</w:t>
            </w:r>
            <w:r>
              <w:rPr>
                <w:rFonts w:hint="eastAsia" w:ascii="宋体" w:hAnsi="宋体" w:eastAsia="宋体" w:cs="Times New Roman"/>
                <w:color w:val="auto"/>
                <w:sz w:val="24"/>
                <w:szCs w:val="24"/>
                <w:highlight w:val="none"/>
              </w:rPr>
              <w:t>分）</w:t>
            </w:r>
          </w:p>
        </w:tc>
        <w:tc>
          <w:tcPr>
            <w:tcW w:w="4134" w:type="pct"/>
            <w:gridSpan w:val="3"/>
            <w:tcBorders>
              <w:top w:val="single" w:color="auto" w:sz="4" w:space="0"/>
              <w:left w:val="nil"/>
              <w:bottom w:val="single" w:color="auto" w:sz="4" w:space="0"/>
              <w:right w:val="single" w:color="auto" w:sz="4" w:space="0"/>
            </w:tcBorders>
            <w:vAlign w:val="center"/>
          </w:tcPr>
          <w:p w14:paraId="32BE0F28">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价格分统一采用低价优先法，即满足招标文件要求且投标价格最低的投标报价为评标基准价，其价格分为满分30分。其他投标人的价格分统一按照下列公式计算：</w:t>
            </w:r>
          </w:p>
          <w:p w14:paraId="7E7CD1CA">
            <w:pPr>
              <w:spacing w:line="360" w:lineRule="auto"/>
              <w:rPr>
                <w:rFonts w:hint="eastAsia" w:ascii="宋体" w:hAnsi="宋体" w:eastAsia="宋体" w:cs="Times New Roman"/>
                <w:b/>
                <w:bCs/>
                <w:color w:val="auto"/>
                <w:sz w:val="24"/>
                <w:szCs w:val="24"/>
                <w:highlight w:val="none"/>
              </w:rPr>
            </w:pPr>
            <w:r>
              <w:rPr>
                <w:rFonts w:hint="eastAsia" w:ascii="宋体" w:hAnsi="宋体" w:eastAsia="宋体" w:cs="Times New Roman"/>
                <w:color w:val="auto"/>
                <w:sz w:val="24"/>
                <w:szCs w:val="24"/>
                <w:highlight w:val="none"/>
              </w:rPr>
              <w:t>投标报价得分＝（评标基准价/投标报价）×30％×100</w:t>
            </w:r>
          </w:p>
        </w:tc>
      </w:tr>
    </w:tbl>
    <w:p w14:paraId="683EC220">
      <w:pPr>
        <w:spacing w:line="360" w:lineRule="auto"/>
        <w:ind w:firstLine="435"/>
        <w:rPr>
          <w:rFonts w:hint="eastAsia" w:asciiTheme="minorEastAsia" w:hAnsiTheme="minorEastAsia" w:eastAsiaTheme="minorEastAsia"/>
          <w:color w:val="auto"/>
          <w:sz w:val="24"/>
          <w:highlight w:val="none"/>
        </w:rPr>
      </w:pPr>
    </w:p>
    <w:p w14:paraId="40BB50C1">
      <w:pPr>
        <w:pStyle w:val="2"/>
        <w:keepNext w:val="0"/>
        <w:keepLines w:val="0"/>
        <w:pageBreakBefore w:val="0"/>
        <w:widowControl w:val="0"/>
        <w:kinsoku/>
        <w:wordWrap/>
        <w:overflowPunct/>
        <w:topLinePunct w:val="0"/>
        <w:autoSpaceDE/>
        <w:autoSpaceDN/>
        <w:bidi w:val="0"/>
        <w:adjustRightInd/>
        <w:snapToGrid/>
        <w:ind w:left="0" w:leftChars="0" w:firstLine="0" w:firstLineChars="0"/>
        <w:textAlignment w:val="auto"/>
        <w:outlineLvl w:val="3"/>
        <w:rPr>
          <w:rFonts w:hint="default" w:cs="@仿宋_GB2312" w:asciiTheme="minorEastAsia" w:hAnsiTheme="minorEastAsia" w:eastAsiaTheme="minorEastAsia"/>
          <w:b w:val="0"/>
          <w:color w:val="auto"/>
          <w:kern w:val="2"/>
          <w:sz w:val="24"/>
          <w:szCs w:val="20"/>
          <w:highlight w:val="none"/>
          <w:lang w:val="en-US" w:eastAsia="zh-CN" w:bidi="ar-SA"/>
        </w:rPr>
      </w:pPr>
      <w:r>
        <w:rPr>
          <w:rFonts w:hint="eastAsia" w:cs="@仿宋_GB2312" w:asciiTheme="minorEastAsia" w:hAnsiTheme="minorEastAsia" w:eastAsiaTheme="minorEastAsia"/>
          <w:b w:val="0"/>
          <w:color w:val="auto"/>
          <w:kern w:val="2"/>
          <w:sz w:val="24"/>
          <w:szCs w:val="20"/>
          <w:highlight w:val="none"/>
          <w:lang w:val="en-US" w:eastAsia="zh-CN" w:bidi="ar-SA"/>
        </w:rPr>
        <w:t>06包：</w:t>
      </w:r>
    </w:p>
    <w:tbl>
      <w:tblPr>
        <w:tblStyle w:val="2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75"/>
        <w:gridCol w:w="1720"/>
        <w:gridCol w:w="3745"/>
        <w:gridCol w:w="1582"/>
      </w:tblGrid>
      <w:tr w14:paraId="37E1A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865" w:type="pct"/>
            <w:tcBorders>
              <w:top w:val="single" w:color="auto" w:sz="4" w:space="0"/>
              <w:left w:val="single" w:color="auto" w:sz="4" w:space="0"/>
              <w:bottom w:val="single" w:color="auto" w:sz="4" w:space="0"/>
              <w:right w:val="single" w:color="auto" w:sz="4" w:space="0"/>
            </w:tcBorders>
            <w:vAlign w:val="center"/>
          </w:tcPr>
          <w:p w14:paraId="36E05266">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b/>
                <w:bCs/>
                <w:color w:val="auto"/>
                <w:sz w:val="24"/>
                <w:szCs w:val="24"/>
                <w:highlight w:val="none"/>
              </w:rPr>
              <w:t>类别</w:t>
            </w:r>
          </w:p>
        </w:tc>
        <w:tc>
          <w:tcPr>
            <w:tcW w:w="1009" w:type="pct"/>
            <w:tcBorders>
              <w:top w:val="single" w:color="auto" w:sz="4" w:space="0"/>
              <w:left w:val="nil"/>
              <w:bottom w:val="single" w:color="auto" w:sz="4" w:space="0"/>
              <w:right w:val="single" w:color="auto" w:sz="4" w:space="0"/>
            </w:tcBorders>
            <w:vAlign w:val="center"/>
          </w:tcPr>
          <w:p w14:paraId="70E2AA8A">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b/>
                <w:bCs/>
                <w:color w:val="auto"/>
                <w:sz w:val="24"/>
                <w:szCs w:val="24"/>
                <w:highlight w:val="none"/>
              </w:rPr>
              <w:t>评分内容</w:t>
            </w:r>
          </w:p>
        </w:tc>
        <w:tc>
          <w:tcPr>
            <w:tcW w:w="2197" w:type="pct"/>
            <w:tcBorders>
              <w:top w:val="single" w:color="auto" w:sz="4" w:space="0"/>
              <w:left w:val="nil"/>
              <w:bottom w:val="single" w:color="auto" w:sz="4" w:space="0"/>
              <w:right w:val="single" w:color="auto" w:sz="4" w:space="0"/>
            </w:tcBorders>
            <w:vAlign w:val="center"/>
          </w:tcPr>
          <w:p w14:paraId="2CF0F9CD">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b/>
                <w:bCs/>
                <w:color w:val="auto"/>
                <w:sz w:val="24"/>
                <w:szCs w:val="24"/>
                <w:highlight w:val="none"/>
              </w:rPr>
              <w:t>评分标准</w:t>
            </w:r>
          </w:p>
        </w:tc>
        <w:tc>
          <w:tcPr>
            <w:tcW w:w="927" w:type="pct"/>
            <w:tcBorders>
              <w:top w:val="single" w:color="auto" w:sz="4" w:space="0"/>
              <w:left w:val="nil"/>
              <w:bottom w:val="single" w:color="auto" w:sz="4" w:space="0"/>
              <w:right w:val="single" w:color="auto" w:sz="4" w:space="0"/>
            </w:tcBorders>
            <w:vAlign w:val="center"/>
          </w:tcPr>
          <w:p w14:paraId="455A0A59">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b/>
                <w:bCs/>
                <w:color w:val="auto"/>
                <w:sz w:val="24"/>
                <w:szCs w:val="24"/>
                <w:highlight w:val="none"/>
              </w:rPr>
              <w:t>分值范围</w:t>
            </w:r>
          </w:p>
        </w:tc>
      </w:tr>
      <w:tr w14:paraId="32AD8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5" w:type="pct"/>
            <w:vMerge w:val="restart"/>
            <w:tcBorders>
              <w:top w:val="nil"/>
              <w:left w:val="single" w:color="auto" w:sz="4" w:space="0"/>
              <w:bottom w:val="single" w:color="auto" w:sz="4" w:space="0"/>
              <w:right w:val="single" w:color="auto" w:sz="4" w:space="0"/>
            </w:tcBorders>
            <w:vAlign w:val="center"/>
          </w:tcPr>
          <w:p w14:paraId="39399136">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技术资信分</w:t>
            </w:r>
          </w:p>
          <w:p w14:paraId="36AA2CB8">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u w:val="single"/>
              </w:rPr>
              <w:t>70</w:t>
            </w:r>
            <w:r>
              <w:rPr>
                <w:rFonts w:hint="eastAsia" w:ascii="宋体" w:hAnsi="宋体" w:eastAsia="宋体" w:cs="Times New Roman"/>
                <w:color w:val="auto"/>
                <w:sz w:val="24"/>
                <w:szCs w:val="24"/>
                <w:highlight w:val="none"/>
              </w:rPr>
              <w:t>分）</w:t>
            </w:r>
          </w:p>
        </w:tc>
        <w:tc>
          <w:tcPr>
            <w:tcW w:w="1009" w:type="pct"/>
            <w:tcBorders>
              <w:top w:val="single" w:color="auto" w:sz="4" w:space="0"/>
              <w:left w:val="nil"/>
              <w:bottom w:val="single" w:color="auto" w:sz="4" w:space="0"/>
              <w:right w:val="single" w:color="auto" w:sz="4" w:space="0"/>
            </w:tcBorders>
            <w:vAlign w:val="center"/>
          </w:tcPr>
          <w:p w14:paraId="002F0F06">
            <w:pPr>
              <w:spacing w:line="360" w:lineRule="auto"/>
              <w:jc w:val="center"/>
              <w:rPr>
                <w:rFonts w:hint="eastAsia"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产品业绩</w:t>
            </w:r>
          </w:p>
        </w:tc>
        <w:tc>
          <w:tcPr>
            <w:tcW w:w="2197" w:type="pct"/>
            <w:tcBorders>
              <w:top w:val="single" w:color="auto" w:sz="4" w:space="0"/>
              <w:left w:val="nil"/>
              <w:bottom w:val="single" w:color="auto" w:sz="4" w:space="0"/>
              <w:right w:val="single" w:color="auto" w:sz="4" w:space="0"/>
            </w:tcBorders>
            <w:vAlign w:val="center"/>
          </w:tcPr>
          <w:p w14:paraId="47A53131">
            <w:pPr>
              <w:spacing w:line="360" w:lineRule="auto"/>
              <w:rPr>
                <w:rFonts w:hint="eastAsia"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每提供1个自2023年1月1日起（以合同签订时间为准）</w:t>
            </w:r>
            <w:r>
              <w:rPr>
                <w:rFonts w:hint="eastAsia" w:ascii="宋体" w:hAnsi="宋体" w:eastAsia="宋体" w:cs="Times New Roman"/>
                <w:bCs/>
                <w:color w:val="auto"/>
                <w:sz w:val="24"/>
                <w:szCs w:val="24"/>
                <w:highlight w:val="none"/>
              </w:rPr>
              <w:t>核心产品</w:t>
            </w:r>
            <w:r>
              <w:rPr>
                <w:rFonts w:hint="eastAsia" w:ascii="宋体" w:hAnsi="宋体" w:eastAsia="宋体" w:cs="Times New Roman"/>
                <w:bCs/>
                <w:color w:val="auto"/>
                <w:sz w:val="24"/>
                <w:szCs w:val="24"/>
                <w:highlight w:val="none"/>
              </w:rPr>
              <w:t>为医疗机构供货的业绩，得2分，满分</w:t>
            </w:r>
            <w:r>
              <w:rPr>
                <w:rFonts w:hint="eastAsia" w:ascii="宋体" w:hAnsi="宋体" w:eastAsia="宋体" w:cs="Times New Roman"/>
                <w:bCs/>
                <w:color w:val="auto"/>
                <w:sz w:val="24"/>
                <w:szCs w:val="24"/>
                <w:highlight w:val="none"/>
                <w:lang w:val="en-US" w:eastAsia="zh-CN"/>
              </w:rPr>
              <w:t>4</w:t>
            </w:r>
            <w:r>
              <w:rPr>
                <w:rFonts w:hint="eastAsia" w:ascii="宋体" w:hAnsi="宋体" w:eastAsia="宋体" w:cs="Times New Roman"/>
                <w:bCs/>
                <w:color w:val="auto"/>
                <w:sz w:val="24"/>
                <w:szCs w:val="24"/>
                <w:highlight w:val="none"/>
              </w:rPr>
              <w:t>分。</w:t>
            </w:r>
          </w:p>
          <w:p w14:paraId="293BE3AD">
            <w:pPr>
              <w:spacing w:line="360" w:lineRule="auto"/>
              <w:rPr>
                <w:rFonts w:hint="eastAsia"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注：（1）提供合同扫描件（体现合同签订时间、核心产品、合同甲方等评审因素；业绩合同乙方主体不限，合同甲方主体须为医疗机构）；（2）如上述业绩证明材料不能体现相应评审因素，需同时提供业绩合同甲方（或合同业主）盖章证明材料，否则不得分。</w:t>
            </w:r>
          </w:p>
        </w:tc>
        <w:tc>
          <w:tcPr>
            <w:tcW w:w="927" w:type="pct"/>
            <w:tcBorders>
              <w:top w:val="single" w:color="auto" w:sz="4" w:space="0"/>
              <w:left w:val="nil"/>
              <w:bottom w:val="single" w:color="auto" w:sz="4" w:space="0"/>
              <w:right w:val="single" w:color="auto" w:sz="4" w:space="0"/>
            </w:tcBorders>
            <w:vAlign w:val="center"/>
          </w:tcPr>
          <w:p w14:paraId="4751815E">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0-</w:t>
            </w:r>
            <w:r>
              <w:rPr>
                <w:rFonts w:hint="eastAsia" w:ascii="宋体" w:hAnsi="宋体" w:eastAsia="宋体" w:cs="Times New Roman"/>
                <w:color w:val="auto"/>
                <w:sz w:val="24"/>
                <w:szCs w:val="24"/>
                <w:highlight w:val="none"/>
                <w:lang w:val="en-US" w:eastAsia="zh-CN"/>
              </w:rPr>
              <w:t>4</w:t>
            </w:r>
            <w:r>
              <w:rPr>
                <w:rFonts w:hint="eastAsia" w:ascii="宋体" w:hAnsi="宋体" w:eastAsia="宋体" w:cs="Times New Roman"/>
                <w:color w:val="auto"/>
                <w:sz w:val="24"/>
                <w:szCs w:val="24"/>
                <w:highlight w:val="none"/>
              </w:rPr>
              <w:t>分</w:t>
            </w:r>
          </w:p>
        </w:tc>
      </w:tr>
      <w:tr w14:paraId="24033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nil"/>
              <w:left w:val="single" w:color="auto" w:sz="4" w:space="0"/>
              <w:bottom w:val="single" w:color="auto" w:sz="4" w:space="0"/>
              <w:right w:val="single" w:color="auto" w:sz="4" w:space="0"/>
            </w:tcBorders>
            <w:vAlign w:val="center"/>
          </w:tcPr>
          <w:p w14:paraId="69EA4043">
            <w:pPr>
              <w:widowControl/>
              <w:jc w:val="left"/>
              <w:rPr>
                <w:rFonts w:hint="eastAsia" w:ascii="宋体" w:hAnsi="宋体" w:eastAsia="宋体" w:cs="Times New Roman"/>
                <w:b/>
                <w:bCs/>
                <w:color w:val="auto"/>
                <w:sz w:val="24"/>
                <w:szCs w:val="24"/>
                <w:highlight w:val="none"/>
              </w:rPr>
            </w:pPr>
          </w:p>
        </w:tc>
        <w:tc>
          <w:tcPr>
            <w:tcW w:w="1009" w:type="pct"/>
            <w:tcBorders>
              <w:top w:val="single" w:color="auto" w:sz="4" w:space="0"/>
              <w:left w:val="nil"/>
              <w:bottom w:val="single" w:color="auto" w:sz="4" w:space="0"/>
              <w:right w:val="single" w:color="auto" w:sz="4" w:space="0"/>
            </w:tcBorders>
            <w:vAlign w:val="center"/>
          </w:tcPr>
          <w:p w14:paraId="09B81AC4">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技术参数及要求响应情况</w:t>
            </w:r>
          </w:p>
        </w:tc>
        <w:tc>
          <w:tcPr>
            <w:tcW w:w="2197" w:type="pct"/>
            <w:tcBorders>
              <w:top w:val="single" w:color="auto" w:sz="4" w:space="0"/>
              <w:left w:val="nil"/>
              <w:bottom w:val="single" w:color="auto" w:sz="4" w:space="0"/>
              <w:right w:val="single" w:color="auto" w:sz="4" w:space="0"/>
            </w:tcBorders>
            <w:vAlign w:val="center"/>
          </w:tcPr>
          <w:p w14:paraId="26FB7283">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根据投标人对招标文件的《第三章 采购需求》中“二、货物需求一览表”的技术参数及要求响应情况进行评分：</w:t>
            </w:r>
          </w:p>
          <w:p w14:paraId="7F809A4A">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（1）标注“</w:t>
            </w:r>
            <w:r>
              <w:rPr>
                <w:rFonts w:hint="eastAsia" w:ascii="宋体" w:hAnsi="宋体" w:eastAsia="宋体" w:cs="Times New Roman"/>
                <w:color w:val="auto"/>
                <w:sz w:val="24"/>
                <w:szCs w:val="24"/>
                <w:highlight w:val="none"/>
                <w:lang w:val="en-US" w:eastAsia="zh-CN"/>
              </w:rPr>
              <w:t>★</w:t>
            </w:r>
            <w:r>
              <w:rPr>
                <w:rFonts w:hint="eastAsia" w:ascii="宋体" w:hAnsi="宋体" w:eastAsia="宋体" w:cs="Times New Roman"/>
                <w:color w:val="auto"/>
                <w:sz w:val="24"/>
                <w:szCs w:val="24"/>
                <w:highlight w:val="none"/>
              </w:rPr>
              <w:t>”的技术参数，存在负偏离的投标将被否决。</w:t>
            </w:r>
          </w:p>
          <w:p w14:paraId="51768C67">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lang w:val="en-US" w:eastAsia="zh-CN"/>
              </w:rPr>
              <w:t>2</w:t>
            </w:r>
            <w:r>
              <w:rPr>
                <w:rFonts w:hint="eastAsia" w:ascii="宋体" w:hAnsi="宋体" w:eastAsia="宋体" w:cs="Times New Roman"/>
                <w:color w:val="auto"/>
                <w:sz w:val="24"/>
                <w:szCs w:val="24"/>
                <w:highlight w:val="none"/>
              </w:rPr>
              <w:t>）标注“▲”的技术参数，每一项负偏离扣2分，</w:t>
            </w:r>
            <w:r>
              <w:rPr>
                <w:rFonts w:hint="eastAsia" w:ascii="宋体" w:hAnsi="宋体" w:eastAsia="宋体" w:cs="Times New Roman"/>
                <w:color w:val="auto"/>
                <w:sz w:val="24"/>
                <w:szCs w:val="24"/>
                <w:highlight w:val="none"/>
                <w:lang w:val="en-US" w:eastAsia="zh-CN"/>
              </w:rPr>
              <w:t>10</w:t>
            </w:r>
            <w:r>
              <w:rPr>
                <w:rFonts w:hint="eastAsia" w:ascii="宋体" w:hAnsi="宋体" w:eastAsia="宋体" w:cs="Times New Roman"/>
                <w:color w:val="auto"/>
                <w:sz w:val="24"/>
                <w:szCs w:val="24"/>
                <w:highlight w:val="none"/>
              </w:rPr>
              <w:t>项（不含）以上存在负偏离的投标将被否决，本小项满分</w:t>
            </w:r>
            <w:r>
              <w:rPr>
                <w:rFonts w:hint="eastAsia" w:ascii="宋体" w:hAnsi="宋体" w:eastAsia="宋体" w:cs="Times New Roman"/>
                <w:color w:val="auto"/>
                <w:sz w:val="24"/>
                <w:szCs w:val="24"/>
                <w:highlight w:val="none"/>
                <w:lang w:val="en-US" w:eastAsia="zh-CN"/>
              </w:rPr>
              <w:t>20</w:t>
            </w:r>
            <w:r>
              <w:rPr>
                <w:rFonts w:hint="eastAsia" w:ascii="宋体" w:hAnsi="宋体" w:eastAsia="宋体" w:cs="Times New Roman"/>
                <w:color w:val="auto"/>
                <w:sz w:val="24"/>
                <w:szCs w:val="24"/>
                <w:highlight w:val="none"/>
              </w:rPr>
              <w:t>分。</w:t>
            </w:r>
          </w:p>
          <w:p w14:paraId="07C1B0A7">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（2）未标注“▲”的技术参数要求，每一项负偏离扣1分，</w:t>
            </w:r>
            <w:r>
              <w:rPr>
                <w:rFonts w:hint="eastAsia" w:ascii="宋体" w:hAnsi="宋体" w:eastAsia="宋体" w:cs="Times New Roman"/>
                <w:color w:val="auto"/>
                <w:sz w:val="24"/>
                <w:szCs w:val="24"/>
                <w:highlight w:val="none"/>
                <w:lang w:val="en-US" w:eastAsia="zh-CN"/>
              </w:rPr>
              <w:t>21</w:t>
            </w:r>
            <w:r>
              <w:rPr>
                <w:rFonts w:hint="eastAsia" w:ascii="宋体" w:hAnsi="宋体" w:eastAsia="宋体" w:cs="Times New Roman"/>
                <w:color w:val="auto"/>
                <w:sz w:val="24"/>
                <w:szCs w:val="24"/>
                <w:highlight w:val="none"/>
              </w:rPr>
              <w:t>项（不含）以上存在负偏离的投标将被否决，本小项满分</w:t>
            </w:r>
            <w:r>
              <w:rPr>
                <w:rFonts w:hint="eastAsia" w:ascii="宋体" w:hAnsi="宋体" w:eastAsia="宋体" w:cs="Times New Roman"/>
                <w:color w:val="auto"/>
                <w:sz w:val="24"/>
                <w:szCs w:val="24"/>
                <w:highlight w:val="none"/>
                <w:lang w:val="en-US" w:eastAsia="zh-CN"/>
              </w:rPr>
              <w:t>21</w:t>
            </w:r>
            <w:r>
              <w:rPr>
                <w:rFonts w:hint="eastAsia" w:ascii="宋体" w:hAnsi="宋体" w:eastAsia="宋体" w:cs="Times New Roman"/>
                <w:color w:val="auto"/>
                <w:sz w:val="24"/>
                <w:szCs w:val="24"/>
                <w:highlight w:val="none"/>
              </w:rPr>
              <w:t>分。</w:t>
            </w:r>
          </w:p>
          <w:p w14:paraId="1A223DBE">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注：以投标响应表中的技术响应表和采购需求中要求提供的证明材料作为评审依据。</w:t>
            </w:r>
          </w:p>
        </w:tc>
        <w:tc>
          <w:tcPr>
            <w:tcW w:w="927" w:type="pct"/>
            <w:tcBorders>
              <w:top w:val="single" w:color="auto" w:sz="4" w:space="0"/>
              <w:left w:val="nil"/>
              <w:bottom w:val="single" w:color="auto" w:sz="4" w:space="0"/>
              <w:right w:val="single" w:color="auto" w:sz="4" w:space="0"/>
            </w:tcBorders>
            <w:vAlign w:val="center"/>
          </w:tcPr>
          <w:p w14:paraId="58E59454">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color w:val="auto"/>
                <w:sz w:val="24"/>
                <w:szCs w:val="24"/>
                <w:highlight w:val="none"/>
              </w:rPr>
              <w:t>0-</w:t>
            </w:r>
            <w:r>
              <w:rPr>
                <w:rFonts w:hint="eastAsia" w:ascii="宋体" w:hAnsi="宋体" w:eastAsia="宋体" w:cs="Times New Roman"/>
                <w:color w:val="auto"/>
                <w:sz w:val="24"/>
                <w:szCs w:val="24"/>
                <w:highlight w:val="none"/>
                <w:lang w:val="en-US" w:eastAsia="zh-CN"/>
              </w:rPr>
              <w:t>41</w:t>
            </w:r>
            <w:r>
              <w:rPr>
                <w:rFonts w:hint="eastAsia" w:ascii="宋体" w:hAnsi="宋体" w:eastAsia="宋体" w:cs="Times New Roman"/>
                <w:color w:val="auto"/>
                <w:sz w:val="24"/>
                <w:szCs w:val="24"/>
                <w:highlight w:val="none"/>
              </w:rPr>
              <w:t>分</w:t>
            </w:r>
          </w:p>
        </w:tc>
      </w:tr>
      <w:tr w14:paraId="58255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nil"/>
              <w:left w:val="single" w:color="auto" w:sz="4" w:space="0"/>
              <w:bottom w:val="single" w:color="auto" w:sz="4" w:space="0"/>
              <w:right w:val="single" w:color="auto" w:sz="4" w:space="0"/>
            </w:tcBorders>
            <w:vAlign w:val="center"/>
          </w:tcPr>
          <w:p w14:paraId="485B5081">
            <w:pPr>
              <w:widowControl/>
              <w:jc w:val="left"/>
              <w:rPr>
                <w:rFonts w:hint="eastAsia" w:ascii="宋体" w:hAnsi="宋体" w:eastAsia="宋体" w:cs="Times New Roman"/>
                <w:b/>
                <w:bCs/>
                <w:color w:val="auto"/>
                <w:sz w:val="24"/>
                <w:szCs w:val="24"/>
                <w:highlight w:val="none"/>
              </w:rPr>
            </w:pPr>
          </w:p>
        </w:tc>
        <w:tc>
          <w:tcPr>
            <w:tcW w:w="1009" w:type="pct"/>
            <w:tcBorders>
              <w:top w:val="single" w:color="auto" w:sz="4" w:space="0"/>
              <w:left w:val="nil"/>
              <w:bottom w:val="single" w:color="auto" w:sz="4" w:space="0"/>
              <w:right w:val="single" w:color="auto" w:sz="4" w:space="0"/>
            </w:tcBorders>
            <w:vAlign w:val="center"/>
          </w:tcPr>
          <w:p w14:paraId="41FC63EA">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项目重难点的应对措施</w:t>
            </w:r>
          </w:p>
        </w:tc>
        <w:tc>
          <w:tcPr>
            <w:tcW w:w="2197" w:type="pct"/>
            <w:tcBorders>
              <w:top w:val="single" w:color="auto" w:sz="4" w:space="0"/>
              <w:left w:val="nil"/>
              <w:bottom w:val="single" w:color="auto" w:sz="4" w:space="0"/>
              <w:right w:val="single" w:color="auto" w:sz="4" w:space="0"/>
            </w:tcBorders>
            <w:vAlign w:val="center"/>
          </w:tcPr>
          <w:p w14:paraId="527E7451">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评标委员会根据招标文件要求及投标人提供的项目重难点应对措施，进行综合评分：</w:t>
            </w:r>
          </w:p>
          <w:p w14:paraId="21ADCA11">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（1）措施完整详细，可行性、实用性、针对性较强，优于本项目采购需求的，得5分。</w:t>
            </w:r>
          </w:p>
          <w:p w14:paraId="4951CAF2">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（2）措施基本完整，具有可行性、实用性、针对性，适合本项目采购需求的，得3分。</w:t>
            </w:r>
          </w:p>
          <w:p w14:paraId="069823AF">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（3）措施有待提升，可行性、实用性、针对性有待完善，基本适合本项目采购需求的，得1分。</w:t>
            </w:r>
          </w:p>
          <w:p w14:paraId="16536216">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（4）方案不可行或未提供的，得0分。</w:t>
            </w:r>
          </w:p>
        </w:tc>
        <w:tc>
          <w:tcPr>
            <w:tcW w:w="927" w:type="pct"/>
            <w:tcBorders>
              <w:top w:val="single" w:color="auto" w:sz="4" w:space="0"/>
              <w:left w:val="nil"/>
              <w:bottom w:val="single" w:color="auto" w:sz="4" w:space="0"/>
              <w:right w:val="single" w:color="auto" w:sz="4" w:space="0"/>
            </w:tcBorders>
            <w:vAlign w:val="center"/>
          </w:tcPr>
          <w:p w14:paraId="2D569363">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color w:val="auto"/>
                <w:sz w:val="24"/>
                <w:szCs w:val="24"/>
                <w:highlight w:val="none"/>
              </w:rPr>
              <w:t>0-5分</w:t>
            </w:r>
          </w:p>
        </w:tc>
      </w:tr>
      <w:tr w14:paraId="2366F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nil"/>
              <w:left w:val="single" w:color="auto" w:sz="4" w:space="0"/>
              <w:bottom w:val="single" w:color="auto" w:sz="4" w:space="0"/>
              <w:right w:val="single" w:color="auto" w:sz="4" w:space="0"/>
            </w:tcBorders>
            <w:vAlign w:val="center"/>
          </w:tcPr>
          <w:p w14:paraId="0FE33E78">
            <w:pPr>
              <w:widowControl/>
              <w:jc w:val="left"/>
              <w:rPr>
                <w:rFonts w:hint="eastAsia" w:ascii="宋体" w:hAnsi="宋体" w:eastAsia="宋体" w:cs="Times New Roman"/>
                <w:b/>
                <w:bCs/>
                <w:color w:val="auto"/>
                <w:sz w:val="24"/>
                <w:szCs w:val="24"/>
                <w:highlight w:val="none"/>
              </w:rPr>
            </w:pPr>
          </w:p>
        </w:tc>
        <w:tc>
          <w:tcPr>
            <w:tcW w:w="1009" w:type="pct"/>
            <w:tcBorders>
              <w:top w:val="single" w:color="auto" w:sz="4" w:space="0"/>
              <w:left w:val="nil"/>
              <w:bottom w:val="single" w:color="auto" w:sz="4" w:space="0"/>
              <w:right w:val="single" w:color="auto" w:sz="4" w:space="0"/>
            </w:tcBorders>
            <w:vAlign w:val="center"/>
          </w:tcPr>
          <w:p w14:paraId="22EA1376">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供货方案</w:t>
            </w:r>
          </w:p>
        </w:tc>
        <w:tc>
          <w:tcPr>
            <w:tcW w:w="2197" w:type="pct"/>
            <w:tcBorders>
              <w:top w:val="single" w:color="auto" w:sz="4" w:space="0"/>
              <w:left w:val="nil"/>
              <w:bottom w:val="single" w:color="auto" w:sz="4" w:space="0"/>
              <w:right w:val="single" w:color="auto" w:sz="4" w:space="0"/>
            </w:tcBorders>
            <w:vAlign w:val="center"/>
          </w:tcPr>
          <w:p w14:paraId="019AD1E8">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评标委员会根据招标文件要求及投标人提供的供货方案</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lang w:val="en-US" w:eastAsia="zh-CN"/>
              </w:rPr>
              <w:t>包含但不限于供货计划、包装防护、物流安排、到货验收等</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，进行综合评分：</w:t>
            </w:r>
          </w:p>
          <w:p w14:paraId="1FA7FC2A">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（1）方案全面，组织架构科学，人员配置合理，响应时间快，可行性、实用性、针对性较强，优于本项目采购需求的，得5分。</w:t>
            </w:r>
          </w:p>
          <w:p w14:paraId="2D62D1AA">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（2）方案较全面，组织架构较合理，人员配置较合理，响应时间较快，具有可行性、实用性、针对性，适合本项目采购需求的，得3分。</w:t>
            </w:r>
          </w:p>
          <w:p w14:paraId="446D8CFA">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（3）方案有待提升，可行性、实用性、针对性有待完善，基本适合本项目采购需求的，得1分。</w:t>
            </w:r>
          </w:p>
          <w:p w14:paraId="44A9EF66">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（4）方案不可行或未提供的，得0分。</w:t>
            </w:r>
          </w:p>
        </w:tc>
        <w:tc>
          <w:tcPr>
            <w:tcW w:w="927" w:type="pct"/>
            <w:tcBorders>
              <w:top w:val="single" w:color="auto" w:sz="4" w:space="0"/>
              <w:left w:val="nil"/>
              <w:bottom w:val="single" w:color="auto" w:sz="4" w:space="0"/>
              <w:right w:val="single" w:color="auto" w:sz="4" w:space="0"/>
            </w:tcBorders>
            <w:vAlign w:val="center"/>
          </w:tcPr>
          <w:p w14:paraId="5E9C59FF">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0-5分</w:t>
            </w:r>
          </w:p>
        </w:tc>
      </w:tr>
      <w:tr w14:paraId="6D1D6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nil"/>
              <w:left w:val="single" w:color="auto" w:sz="4" w:space="0"/>
              <w:bottom w:val="single" w:color="auto" w:sz="4" w:space="0"/>
              <w:right w:val="single" w:color="auto" w:sz="4" w:space="0"/>
            </w:tcBorders>
            <w:vAlign w:val="center"/>
          </w:tcPr>
          <w:p w14:paraId="4BF8F235">
            <w:pPr>
              <w:widowControl/>
              <w:jc w:val="left"/>
              <w:rPr>
                <w:rFonts w:hint="eastAsia" w:ascii="宋体" w:hAnsi="宋体" w:eastAsia="宋体" w:cs="Times New Roman"/>
                <w:b/>
                <w:bCs/>
                <w:color w:val="auto"/>
                <w:sz w:val="24"/>
                <w:szCs w:val="24"/>
                <w:highlight w:val="none"/>
              </w:rPr>
            </w:pPr>
          </w:p>
        </w:tc>
        <w:tc>
          <w:tcPr>
            <w:tcW w:w="1009" w:type="pct"/>
            <w:tcBorders>
              <w:top w:val="single" w:color="auto" w:sz="4" w:space="0"/>
              <w:left w:val="nil"/>
              <w:bottom w:val="single" w:color="auto" w:sz="4" w:space="0"/>
              <w:right w:val="single" w:color="auto" w:sz="4" w:space="0"/>
            </w:tcBorders>
            <w:vAlign w:val="center"/>
          </w:tcPr>
          <w:p w14:paraId="60191E5C">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安装调试方案</w:t>
            </w:r>
          </w:p>
        </w:tc>
        <w:tc>
          <w:tcPr>
            <w:tcW w:w="2197" w:type="pct"/>
            <w:tcBorders>
              <w:top w:val="single" w:color="auto" w:sz="4" w:space="0"/>
              <w:left w:val="nil"/>
              <w:bottom w:val="single" w:color="auto" w:sz="4" w:space="0"/>
              <w:right w:val="single" w:color="auto" w:sz="4" w:space="0"/>
            </w:tcBorders>
            <w:vAlign w:val="center"/>
          </w:tcPr>
          <w:p w14:paraId="2859AF52">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评标委员会根据投标人提供的安装调试方案</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lang w:val="en-US" w:eastAsia="zh-CN"/>
              </w:rPr>
              <w:t>包含但不限于现场条件确认、软硬件安装、图像参数调试、功能验证、验收等</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进行综合评分：</w:t>
            </w:r>
          </w:p>
          <w:p w14:paraId="08DA3045">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（1）安装调试过程中提供充足的备品备件、辅材，能够在规定时间内完成安装调试任务，优于本项目采购需求的，得5分；</w:t>
            </w:r>
          </w:p>
          <w:p w14:paraId="11097DDE">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（2）供货安装过程中提供的备品备件、辅材预留情况基本满足项目需求，能够在规定时间内完成安装调试任务，适合本项目采购需求的，得3分；</w:t>
            </w:r>
          </w:p>
          <w:p w14:paraId="37FDE7ED">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（3）供货安装过程中提供的备品备件、辅材预留情况有待完善，能够在规定时间内完成安装调试任务的，得1分；</w:t>
            </w:r>
          </w:p>
          <w:p w14:paraId="10A2A014">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（4）方案不可行或者未提供，得0分。</w:t>
            </w:r>
          </w:p>
        </w:tc>
        <w:tc>
          <w:tcPr>
            <w:tcW w:w="927" w:type="pct"/>
            <w:tcBorders>
              <w:top w:val="single" w:color="auto" w:sz="4" w:space="0"/>
              <w:left w:val="nil"/>
              <w:bottom w:val="single" w:color="auto" w:sz="4" w:space="0"/>
              <w:right w:val="single" w:color="auto" w:sz="4" w:space="0"/>
            </w:tcBorders>
            <w:vAlign w:val="center"/>
          </w:tcPr>
          <w:p w14:paraId="1B433617">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0-5分</w:t>
            </w:r>
          </w:p>
        </w:tc>
      </w:tr>
      <w:tr w14:paraId="29273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nil"/>
              <w:left w:val="single" w:color="auto" w:sz="4" w:space="0"/>
              <w:bottom w:val="single" w:color="auto" w:sz="4" w:space="0"/>
              <w:right w:val="single" w:color="auto" w:sz="4" w:space="0"/>
            </w:tcBorders>
            <w:vAlign w:val="center"/>
          </w:tcPr>
          <w:p w14:paraId="0E673561">
            <w:pPr>
              <w:widowControl/>
              <w:jc w:val="left"/>
              <w:rPr>
                <w:rFonts w:hint="eastAsia" w:ascii="宋体" w:hAnsi="宋体" w:eastAsia="宋体" w:cs="Times New Roman"/>
                <w:b/>
                <w:bCs/>
                <w:color w:val="auto"/>
                <w:sz w:val="24"/>
                <w:szCs w:val="24"/>
                <w:highlight w:val="none"/>
              </w:rPr>
            </w:pPr>
          </w:p>
        </w:tc>
        <w:tc>
          <w:tcPr>
            <w:tcW w:w="1009" w:type="pct"/>
            <w:tcBorders>
              <w:top w:val="single" w:color="auto" w:sz="4" w:space="0"/>
              <w:left w:val="nil"/>
              <w:bottom w:val="single" w:color="auto" w:sz="4" w:space="0"/>
              <w:right w:val="single" w:color="auto" w:sz="4" w:space="0"/>
            </w:tcBorders>
            <w:vAlign w:val="center"/>
          </w:tcPr>
          <w:p w14:paraId="6FFCDA41">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售后服务方案</w:t>
            </w:r>
          </w:p>
        </w:tc>
        <w:tc>
          <w:tcPr>
            <w:tcW w:w="2197" w:type="pct"/>
            <w:tcBorders>
              <w:top w:val="single" w:color="auto" w:sz="4" w:space="0"/>
              <w:left w:val="nil"/>
              <w:bottom w:val="single" w:color="auto" w:sz="4" w:space="0"/>
              <w:right w:val="single" w:color="auto" w:sz="4" w:space="0"/>
            </w:tcBorders>
            <w:vAlign w:val="center"/>
          </w:tcPr>
          <w:p w14:paraId="0D3CB69B">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评标委员会根据招标文件要求及投标人提供的售后服务方案</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lang w:val="en-US" w:eastAsia="zh-CN"/>
              </w:rPr>
              <w:t>包含但不限于备品</w:t>
            </w:r>
            <w:r>
              <w:rPr>
                <w:rFonts w:hint="eastAsia" w:ascii="宋体" w:hAnsi="宋体" w:eastAsia="宋体" w:cs="Times New Roman"/>
                <w:color w:val="auto"/>
                <w:sz w:val="24"/>
                <w:szCs w:val="24"/>
                <w:highlight w:val="none"/>
                <w:lang w:eastAsia="zh-CN"/>
              </w:rPr>
              <w:t>备件、质保期限、定期质控巡检、维修保障、设备操作维保培训</w:t>
            </w:r>
            <w:r>
              <w:rPr>
                <w:rFonts w:hint="eastAsia" w:ascii="宋体" w:hAnsi="宋体" w:eastAsia="宋体" w:cs="Times New Roman"/>
                <w:color w:val="auto"/>
                <w:sz w:val="24"/>
                <w:szCs w:val="24"/>
                <w:highlight w:val="none"/>
                <w:lang w:val="en-US" w:eastAsia="zh-CN"/>
              </w:rPr>
              <w:t>等</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，进行综合评分：</w:t>
            </w:r>
          </w:p>
          <w:p w14:paraId="2C2FDEF2">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（1）具有完善的售后服务计划、措施，技术支持快速及时，培训方案完整详细，可行性、实用性、针对性较强，优于本项目采购需求的，得5分；</w:t>
            </w:r>
          </w:p>
          <w:p w14:paraId="77652F7C">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（2）售后服务计划、措施基本完善，培训内容基本详实，技术支持及时，培训方案基本完整，具有可行性、实用性、针对性，能够保障本项目采购需求的，得3分；</w:t>
            </w:r>
          </w:p>
          <w:p w14:paraId="0B6315F6">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（3）售后服务方案、培训方案有待提升，可行性、实用性、针对性有待完善，基本保障本项目采购需求的，得1分；</w:t>
            </w:r>
          </w:p>
          <w:p w14:paraId="3E3BAEB3">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（4）方案不可行或未提供的得0分。</w:t>
            </w:r>
          </w:p>
        </w:tc>
        <w:tc>
          <w:tcPr>
            <w:tcW w:w="927" w:type="pct"/>
            <w:tcBorders>
              <w:top w:val="single" w:color="auto" w:sz="4" w:space="0"/>
              <w:left w:val="nil"/>
              <w:bottom w:val="single" w:color="auto" w:sz="4" w:space="0"/>
              <w:right w:val="single" w:color="auto" w:sz="4" w:space="0"/>
            </w:tcBorders>
            <w:vAlign w:val="center"/>
          </w:tcPr>
          <w:p w14:paraId="3009281A">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0-5分</w:t>
            </w:r>
          </w:p>
        </w:tc>
      </w:tr>
      <w:tr w14:paraId="5EAB8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nil"/>
              <w:left w:val="single" w:color="auto" w:sz="4" w:space="0"/>
              <w:bottom w:val="single" w:color="auto" w:sz="4" w:space="0"/>
              <w:right w:val="single" w:color="auto" w:sz="4" w:space="0"/>
            </w:tcBorders>
            <w:vAlign w:val="center"/>
          </w:tcPr>
          <w:p w14:paraId="350BC8C9">
            <w:pPr>
              <w:widowControl/>
              <w:jc w:val="left"/>
              <w:rPr>
                <w:rFonts w:hint="eastAsia" w:ascii="宋体" w:hAnsi="宋体" w:eastAsia="宋体" w:cs="Times New Roman"/>
                <w:b/>
                <w:bCs/>
                <w:color w:val="auto"/>
                <w:sz w:val="24"/>
                <w:szCs w:val="24"/>
                <w:highlight w:val="none"/>
              </w:rPr>
            </w:pPr>
          </w:p>
        </w:tc>
        <w:tc>
          <w:tcPr>
            <w:tcW w:w="1009" w:type="pct"/>
            <w:tcBorders>
              <w:top w:val="single" w:color="auto" w:sz="4" w:space="0"/>
              <w:left w:val="nil"/>
              <w:bottom w:val="single" w:color="auto" w:sz="4" w:space="0"/>
              <w:right w:val="single" w:color="auto" w:sz="4" w:space="0"/>
            </w:tcBorders>
            <w:vAlign w:val="center"/>
          </w:tcPr>
          <w:p w14:paraId="1D9165DA">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优惠承诺及增值服务</w:t>
            </w:r>
          </w:p>
        </w:tc>
        <w:tc>
          <w:tcPr>
            <w:tcW w:w="2197" w:type="pct"/>
            <w:tcBorders>
              <w:top w:val="single" w:color="auto" w:sz="4" w:space="0"/>
              <w:left w:val="nil"/>
              <w:bottom w:val="single" w:color="auto" w:sz="4" w:space="0"/>
              <w:right w:val="single" w:color="auto" w:sz="4" w:space="0"/>
            </w:tcBorders>
            <w:vAlign w:val="center"/>
          </w:tcPr>
          <w:p w14:paraId="190777DB">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评标委员根据投标人提供的优惠承诺及增值服务对于采购人的实际经济效益进行评审：</w:t>
            </w:r>
          </w:p>
          <w:p w14:paraId="262544AB">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（1）有具体优惠条件及增值服务，且优惠条件及增值服务实用性强，实际价值高的，得5分；</w:t>
            </w:r>
          </w:p>
          <w:p w14:paraId="5A8CE7B9">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（2）有具体的优惠条件及增值服务，且优惠条件及增值服务具有实用性的，得3分；</w:t>
            </w:r>
          </w:p>
          <w:p w14:paraId="39C02412">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（3）有优惠条件及增值服务，实用性有待提升的，得1分；</w:t>
            </w:r>
          </w:p>
          <w:p w14:paraId="501FEE5C">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（4）未提供的，得0分。</w:t>
            </w:r>
          </w:p>
        </w:tc>
        <w:tc>
          <w:tcPr>
            <w:tcW w:w="927" w:type="pct"/>
            <w:tcBorders>
              <w:top w:val="single" w:color="auto" w:sz="4" w:space="0"/>
              <w:left w:val="nil"/>
              <w:bottom w:val="single" w:color="auto" w:sz="4" w:space="0"/>
              <w:right w:val="single" w:color="auto" w:sz="4" w:space="0"/>
            </w:tcBorders>
            <w:vAlign w:val="center"/>
          </w:tcPr>
          <w:p w14:paraId="3AA52125">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color w:val="auto"/>
                <w:sz w:val="24"/>
                <w:szCs w:val="24"/>
                <w:highlight w:val="none"/>
              </w:rPr>
              <w:t>0-5分</w:t>
            </w:r>
          </w:p>
        </w:tc>
      </w:tr>
      <w:tr w14:paraId="1BFF8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5" w:type="pct"/>
            <w:tcBorders>
              <w:top w:val="single" w:color="auto" w:sz="4" w:space="0"/>
              <w:left w:val="single" w:color="auto" w:sz="4" w:space="0"/>
              <w:bottom w:val="single" w:color="auto" w:sz="4" w:space="0"/>
              <w:right w:val="single" w:color="auto" w:sz="4" w:space="0"/>
            </w:tcBorders>
            <w:vAlign w:val="center"/>
          </w:tcPr>
          <w:p w14:paraId="104ACBBA">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价格分</w:t>
            </w:r>
          </w:p>
          <w:p w14:paraId="782CBB71">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u w:val="single"/>
              </w:rPr>
              <w:t>30</w:t>
            </w:r>
            <w:r>
              <w:rPr>
                <w:rFonts w:hint="eastAsia" w:ascii="宋体" w:hAnsi="宋体" w:eastAsia="宋体" w:cs="Times New Roman"/>
                <w:color w:val="auto"/>
                <w:sz w:val="24"/>
                <w:szCs w:val="24"/>
                <w:highlight w:val="none"/>
              </w:rPr>
              <w:t>分）</w:t>
            </w:r>
          </w:p>
        </w:tc>
        <w:tc>
          <w:tcPr>
            <w:tcW w:w="4134" w:type="pct"/>
            <w:gridSpan w:val="3"/>
            <w:tcBorders>
              <w:top w:val="single" w:color="auto" w:sz="4" w:space="0"/>
              <w:left w:val="nil"/>
              <w:bottom w:val="single" w:color="auto" w:sz="4" w:space="0"/>
              <w:right w:val="single" w:color="auto" w:sz="4" w:space="0"/>
            </w:tcBorders>
            <w:vAlign w:val="center"/>
          </w:tcPr>
          <w:p w14:paraId="67A4692A">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价格分统一采用低价优先法，即满足招标文件要求且投标价格最低的投标报价为评标基准价，其价格分为满分30分。其他投标人的价格分统一按照下列公式计算：</w:t>
            </w:r>
          </w:p>
          <w:p w14:paraId="5BA3081B">
            <w:pPr>
              <w:spacing w:line="360" w:lineRule="auto"/>
              <w:rPr>
                <w:rFonts w:hint="eastAsia" w:ascii="宋体" w:hAnsi="宋体" w:eastAsia="宋体" w:cs="Times New Roman"/>
                <w:b/>
                <w:bCs/>
                <w:color w:val="auto"/>
                <w:sz w:val="24"/>
                <w:szCs w:val="24"/>
                <w:highlight w:val="none"/>
              </w:rPr>
            </w:pPr>
            <w:r>
              <w:rPr>
                <w:rFonts w:hint="eastAsia" w:ascii="宋体" w:hAnsi="宋体" w:eastAsia="宋体" w:cs="Times New Roman"/>
                <w:color w:val="auto"/>
                <w:sz w:val="24"/>
                <w:szCs w:val="24"/>
                <w:highlight w:val="none"/>
              </w:rPr>
              <w:t>投标报价得分＝（评标基准价/投标报价）×30％×100</w:t>
            </w:r>
          </w:p>
        </w:tc>
      </w:tr>
    </w:tbl>
    <w:p w14:paraId="5A301A47">
      <w:pPr>
        <w:pStyle w:val="2"/>
        <w:keepNext w:val="0"/>
        <w:keepLines w:val="0"/>
        <w:pageBreakBefore w:val="0"/>
        <w:widowControl w:val="0"/>
        <w:kinsoku/>
        <w:wordWrap/>
        <w:overflowPunct/>
        <w:topLinePunct w:val="0"/>
        <w:autoSpaceDE/>
        <w:autoSpaceDN/>
        <w:bidi w:val="0"/>
        <w:adjustRightInd/>
        <w:snapToGrid/>
        <w:ind w:left="0" w:leftChars="0" w:firstLine="0" w:firstLineChars="0"/>
        <w:textAlignment w:val="auto"/>
        <w:outlineLvl w:val="3"/>
        <w:rPr>
          <w:rFonts w:hint="default" w:cs="@仿宋_GB2312" w:asciiTheme="minorEastAsia" w:hAnsiTheme="minorEastAsia" w:eastAsiaTheme="minorEastAsia"/>
          <w:b w:val="0"/>
          <w:color w:val="auto"/>
          <w:kern w:val="2"/>
          <w:sz w:val="24"/>
          <w:szCs w:val="20"/>
          <w:highlight w:val="none"/>
          <w:lang w:val="en-US" w:eastAsia="zh-CN" w:bidi="ar-SA"/>
        </w:rPr>
      </w:pPr>
      <w:r>
        <w:rPr>
          <w:rFonts w:hint="eastAsia" w:cs="@仿宋_GB2312" w:asciiTheme="minorEastAsia" w:hAnsiTheme="minorEastAsia" w:eastAsiaTheme="minorEastAsia"/>
          <w:b w:val="0"/>
          <w:color w:val="auto"/>
          <w:kern w:val="2"/>
          <w:sz w:val="24"/>
          <w:szCs w:val="20"/>
          <w:highlight w:val="none"/>
          <w:lang w:val="en-US" w:eastAsia="zh-CN" w:bidi="ar-SA"/>
        </w:rPr>
        <w:t>07包：</w:t>
      </w:r>
    </w:p>
    <w:tbl>
      <w:tblPr>
        <w:tblStyle w:val="2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75"/>
        <w:gridCol w:w="1720"/>
        <w:gridCol w:w="3745"/>
        <w:gridCol w:w="1582"/>
      </w:tblGrid>
      <w:tr w14:paraId="6D278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865" w:type="pct"/>
            <w:tcBorders>
              <w:top w:val="single" w:color="auto" w:sz="4" w:space="0"/>
              <w:left w:val="single" w:color="auto" w:sz="4" w:space="0"/>
              <w:bottom w:val="single" w:color="auto" w:sz="4" w:space="0"/>
              <w:right w:val="single" w:color="auto" w:sz="4" w:space="0"/>
            </w:tcBorders>
            <w:vAlign w:val="center"/>
          </w:tcPr>
          <w:p w14:paraId="788D4918">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b/>
                <w:bCs/>
                <w:color w:val="auto"/>
                <w:sz w:val="24"/>
                <w:szCs w:val="24"/>
                <w:highlight w:val="none"/>
              </w:rPr>
              <w:t>类别</w:t>
            </w:r>
          </w:p>
        </w:tc>
        <w:tc>
          <w:tcPr>
            <w:tcW w:w="1009" w:type="pct"/>
            <w:tcBorders>
              <w:top w:val="single" w:color="auto" w:sz="4" w:space="0"/>
              <w:left w:val="nil"/>
              <w:bottom w:val="single" w:color="auto" w:sz="4" w:space="0"/>
              <w:right w:val="single" w:color="auto" w:sz="4" w:space="0"/>
            </w:tcBorders>
            <w:vAlign w:val="center"/>
          </w:tcPr>
          <w:p w14:paraId="48A3AF6F">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b/>
                <w:bCs/>
                <w:color w:val="auto"/>
                <w:sz w:val="24"/>
                <w:szCs w:val="24"/>
                <w:highlight w:val="none"/>
              </w:rPr>
              <w:t>评分内容</w:t>
            </w:r>
          </w:p>
        </w:tc>
        <w:tc>
          <w:tcPr>
            <w:tcW w:w="2197" w:type="pct"/>
            <w:tcBorders>
              <w:top w:val="single" w:color="auto" w:sz="4" w:space="0"/>
              <w:left w:val="nil"/>
              <w:bottom w:val="single" w:color="auto" w:sz="4" w:space="0"/>
              <w:right w:val="single" w:color="auto" w:sz="4" w:space="0"/>
            </w:tcBorders>
            <w:vAlign w:val="center"/>
          </w:tcPr>
          <w:p w14:paraId="1B5D622F">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b/>
                <w:bCs/>
                <w:color w:val="auto"/>
                <w:sz w:val="24"/>
                <w:szCs w:val="24"/>
                <w:highlight w:val="none"/>
              </w:rPr>
              <w:t>评分标准</w:t>
            </w:r>
          </w:p>
        </w:tc>
        <w:tc>
          <w:tcPr>
            <w:tcW w:w="927" w:type="pct"/>
            <w:tcBorders>
              <w:top w:val="single" w:color="auto" w:sz="4" w:space="0"/>
              <w:left w:val="nil"/>
              <w:bottom w:val="single" w:color="auto" w:sz="4" w:space="0"/>
              <w:right w:val="single" w:color="auto" w:sz="4" w:space="0"/>
            </w:tcBorders>
            <w:vAlign w:val="center"/>
          </w:tcPr>
          <w:p w14:paraId="18213B38">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b/>
                <w:bCs/>
                <w:color w:val="auto"/>
                <w:sz w:val="24"/>
                <w:szCs w:val="24"/>
                <w:highlight w:val="none"/>
              </w:rPr>
              <w:t>分值范围</w:t>
            </w:r>
          </w:p>
        </w:tc>
      </w:tr>
      <w:tr w14:paraId="1BEFB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5" w:type="pct"/>
            <w:vMerge w:val="restart"/>
            <w:tcBorders>
              <w:top w:val="nil"/>
              <w:left w:val="single" w:color="auto" w:sz="4" w:space="0"/>
              <w:bottom w:val="single" w:color="auto" w:sz="4" w:space="0"/>
              <w:right w:val="single" w:color="auto" w:sz="4" w:space="0"/>
            </w:tcBorders>
            <w:vAlign w:val="center"/>
          </w:tcPr>
          <w:p w14:paraId="40473DCA">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技术资信分</w:t>
            </w:r>
          </w:p>
          <w:p w14:paraId="5AE4D8BC">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u w:val="single"/>
              </w:rPr>
              <w:t>70</w:t>
            </w:r>
            <w:r>
              <w:rPr>
                <w:rFonts w:hint="eastAsia" w:ascii="宋体" w:hAnsi="宋体" w:eastAsia="宋体" w:cs="Times New Roman"/>
                <w:color w:val="auto"/>
                <w:sz w:val="24"/>
                <w:szCs w:val="24"/>
                <w:highlight w:val="none"/>
              </w:rPr>
              <w:t>分）</w:t>
            </w:r>
          </w:p>
        </w:tc>
        <w:tc>
          <w:tcPr>
            <w:tcW w:w="1009" w:type="pct"/>
            <w:tcBorders>
              <w:top w:val="single" w:color="auto" w:sz="4" w:space="0"/>
              <w:left w:val="nil"/>
              <w:bottom w:val="single" w:color="auto" w:sz="4" w:space="0"/>
              <w:right w:val="single" w:color="auto" w:sz="4" w:space="0"/>
            </w:tcBorders>
            <w:vAlign w:val="center"/>
          </w:tcPr>
          <w:p w14:paraId="2D92B30E">
            <w:pPr>
              <w:spacing w:line="360" w:lineRule="auto"/>
              <w:jc w:val="center"/>
              <w:rPr>
                <w:rFonts w:hint="eastAsia"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产品业绩</w:t>
            </w:r>
          </w:p>
        </w:tc>
        <w:tc>
          <w:tcPr>
            <w:tcW w:w="2197" w:type="pct"/>
            <w:tcBorders>
              <w:top w:val="single" w:color="auto" w:sz="4" w:space="0"/>
              <w:left w:val="nil"/>
              <w:bottom w:val="single" w:color="auto" w:sz="4" w:space="0"/>
              <w:right w:val="single" w:color="auto" w:sz="4" w:space="0"/>
            </w:tcBorders>
            <w:vAlign w:val="center"/>
          </w:tcPr>
          <w:p w14:paraId="7D4B557C">
            <w:pPr>
              <w:spacing w:line="360" w:lineRule="auto"/>
              <w:rPr>
                <w:rFonts w:hint="eastAsia"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每提供1个自2023年1月1日起（以合同签订时间为准）</w:t>
            </w:r>
            <w:r>
              <w:rPr>
                <w:rFonts w:hint="eastAsia" w:ascii="宋体" w:hAnsi="宋体" w:eastAsia="宋体" w:cs="Times New Roman"/>
                <w:bCs/>
                <w:color w:val="auto"/>
                <w:sz w:val="24"/>
                <w:szCs w:val="24"/>
                <w:highlight w:val="none"/>
              </w:rPr>
              <w:t>核心产品</w:t>
            </w:r>
            <w:r>
              <w:rPr>
                <w:rFonts w:hint="eastAsia" w:ascii="宋体" w:hAnsi="宋体" w:eastAsia="宋体" w:cs="Times New Roman"/>
                <w:bCs/>
                <w:color w:val="auto"/>
                <w:sz w:val="24"/>
                <w:szCs w:val="24"/>
                <w:highlight w:val="none"/>
              </w:rPr>
              <w:t>为医疗机构供货的业绩，得2分，满分</w:t>
            </w:r>
            <w:r>
              <w:rPr>
                <w:rFonts w:hint="eastAsia" w:ascii="宋体" w:hAnsi="宋体" w:eastAsia="宋体" w:cs="Times New Roman"/>
                <w:bCs/>
                <w:color w:val="auto"/>
                <w:sz w:val="24"/>
                <w:szCs w:val="24"/>
                <w:highlight w:val="none"/>
                <w:lang w:val="en-US" w:eastAsia="zh-CN"/>
              </w:rPr>
              <w:t>4</w:t>
            </w:r>
            <w:r>
              <w:rPr>
                <w:rFonts w:hint="eastAsia" w:ascii="宋体" w:hAnsi="宋体" w:eastAsia="宋体" w:cs="Times New Roman"/>
                <w:bCs/>
                <w:color w:val="auto"/>
                <w:sz w:val="24"/>
                <w:szCs w:val="24"/>
                <w:highlight w:val="none"/>
              </w:rPr>
              <w:t>分。</w:t>
            </w:r>
          </w:p>
          <w:p w14:paraId="3976406F">
            <w:pPr>
              <w:spacing w:line="360" w:lineRule="auto"/>
              <w:rPr>
                <w:rFonts w:hint="eastAsia"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注：（1）提供合同扫描件（体现合同签订时间、核心产品、合同甲方等评审因素；业绩合同乙方主体不限，合同甲方主体须为医疗机构）；（2）如上述业绩证明材料不能体现相应评审因素，需同时提供业绩合同甲方（或合同业主）盖章证明材料，否则不得分。</w:t>
            </w:r>
          </w:p>
        </w:tc>
        <w:tc>
          <w:tcPr>
            <w:tcW w:w="927" w:type="pct"/>
            <w:tcBorders>
              <w:top w:val="single" w:color="auto" w:sz="4" w:space="0"/>
              <w:left w:val="nil"/>
              <w:bottom w:val="single" w:color="auto" w:sz="4" w:space="0"/>
              <w:right w:val="single" w:color="auto" w:sz="4" w:space="0"/>
            </w:tcBorders>
            <w:vAlign w:val="center"/>
          </w:tcPr>
          <w:p w14:paraId="26B62E6D">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0-</w:t>
            </w:r>
            <w:r>
              <w:rPr>
                <w:rFonts w:hint="eastAsia" w:ascii="宋体" w:hAnsi="宋体" w:eastAsia="宋体" w:cs="Times New Roman"/>
                <w:color w:val="auto"/>
                <w:sz w:val="24"/>
                <w:szCs w:val="24"/>
                <w:highlight w:val="none"/>
                <w:lang w:val="en-US" w:eastAsia="zh-CN"/>
              </w:rPr>
              <w:t>4</w:t>
            </w:r>
            <w:r>
              <w:rPr>
                <w:rFonts w:hint="eastAsia" w:ascii="宋体" w:hAnsi="宋体" w:eastAsia="宋体" w:cs="Times New Roman"/>
                <w:color w:val="auto"/>
                <w:sz w:val="24"/>
                <w:szCs w:val="24"/>
                <w:highlight w:val="none"/>
              </w:rPr>
              <w:t>分</w:t>
            </w:r>
          </w:p>
        </w:tc>
      </w:tr>
      <w:tr w14:paraId="7DFE3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nil"/>
              <w:left w:val="single" w:color="auto" w:sz="4" w:space="0"/>
              <w:bottom w:val="single" w:color="auto" w:sz="4" w:space="0"/>
              <w:right w:val="single" w:color="auto" w:sz="4" w:space="0"/>
            </w:tcBorders>
            <w:vAlign w:val="center"/>
          </w:tcPr>
          <w:p w14:paraId="4DF9029E">
            <w:pPr>
              <w:widowControl/>
              <w:jc w:val="left"/>
              <w:rPr>
                <w:rFonts w:hint="eastAsia" w:ascii="宋体" w:hAnsi="宋体" w:eastAsia="宋体" w:cs="Times New Roman"/>
                <w:b/>
                <w:bCs/>
                <w:color w:val="auto"/>
                <w:sz w:val="24"/>
                <w:szCs w:val="24"/>
                <w:highlight w:val="none"/>
              </w:rPr>
            </w:pPr>
          </w:p>
        </w:tc>
        <w:tc>
          <w:tcPr>
            <w:tcW w:w="1009" w:type="pct"/>
            <w:tcBorders>
              <w:top w:val="single" w:color="auto" w:sz="4" w:space="0"/>
              <w:left w:val="nil"/>
              <w:bottom w:val="single" w:color="auto" w:sz="4" w:space="0"/>
              <w:right w:val="single" w:color="auto" w:sz="4" w:space="0"/>
            </w:tcBorders>
            <w:vAlign w:val="center"/>
          </w:tcPr>
          <w:p w14:paraId="18353E2A">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技术参数及要求响应情况</w:t>
            </w:r>
          </w:p>
        </w:tc>
        <w:tc>
          <w:tcPr>
            <w:tcW w:w="2197" w:type="pct"/>
            <w:tcBorders>
              <w:top w:val="single" w:color="auto" w:sz="4" w:space="0"/>
              <w:left w:val="nil"/>
              <w:bottom w:val="single" w:color="auto" w:sz="4" w:space="0"/>
              <w:right w:val="single" w:color="auto" w:sz="4" w:space="0"/>
            </w:tcBorders>
            <w:vAlign w:val="center"/>
          </w:tcPr>
          <w:p w14:paraId="7F0AC79F">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根据投标人对招标文件的《第三章 采购需求》中“二、货物需求一览表”的技术参数及要求响应情况进行评分：</w:t>
            </w:r>
          </w:p>
          <w:p w14:paraId="01E29B76">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（1）标注“</w:t>
            </w:r>
            <w:r>
              <w:rPr>
                <w:rFonts w:hint="eastAsia" w:ascii="宋体" w:hAnsi="宋体" w:eastAsia="宋体" w:cs="Times New Roman"/>
                <w:color w:val="auto"/>
                <w:sz w:val="24"/>
                <w:szCs w:val="24"/>
                <w:highlight w:val="none"/>
                <w:lang w:val="en-US" w:eastAsia="zh-CN"/>
              </w:rPr>
              <w:t>★</w:t>
            </w:r>
            <w:r>
              <w:rPr>
                <w:rFonts w:hint="eastAsia" w:ascii="宋体" w:hAnsi="宋体" w:eastAsia="宋体" w:cs="Times New Roman"/>
                <w:color w:val="auto"/>
                <w:sz w:val="24"/>
                <w:szCs w:val="24"/>
                <w:highlight w:val="none"/>
              </w:rPr>
              <w:t>”的技术参数，存在负偏离的投标将被否决。</w:t>
            </w:r>
          </w:p>
          <w:p w14:paraId="0C90B9FA">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lang w:val="en-US" w:eastAsia="zh-CN"/>
              </w:rPr>
              <w:t>2</w:t>
            </w:r>
            <w:r>
              <w:rPr>
                <w:rFonts w:hint="eastAsia" w:ascii="宋体" w:hAnsi="宋体" w:eastAsia="宋体" w:cs="Times New Roman"/>
                <w:color w:val="auto"/>
                <w:sz w:val="24"/>
                <w:szCs w:val="24"/>
                <w:highlight w:val="none"/>
              </w:rPr>
              <w:t>）标注“▲”的技术参数，每一项负偏离扣2分，</w:t>
            </w:r>
            <w:r>
              <w:rPr>
                <w:rFonts w:hint="eastAsia" w:ascii="宋体" w:hAnsi="宋体" w:eastAsia="宋体" w:cs="Times New Roman"/>
                <w:color w:val="auto"/>
                <w:sz w:val="24"/>
                <w:szCs w:val="24"/>
                <w:highlight w:val="none"/>
                <w:lang w:val="en-US" w:eastAsia="zh-CN"/>
              </w:rPr>
              <w:t>10</w:t>
            </w:r>
            <w:r>
              <w:rPr>
                <w:rFonts w:hint="eastAsia" w:ascii="宋体" w:hAnsi="宋体" w:eastAsia="宋体" w:cs="Times New Roman"/>
                <w:color w:val="auto"/>
                <w:sz w:val="24"/>
                <w:szCs w:val="24"/>
                <w:highlight w:val="none"/>
              </w:rPr>
              <w:t>项（不含）以上存在负偏离的投标将被否决，本小项满分</w:t>
            </w:r>
            <w:r>
              <w:rPr>
                <w:rFonts w:hint="eastAsia" w:ascii="宋体" w:hAnsi="宋体" w:eastAsia="宋体" w:cs="Times New Roman"/>
                <w:color w:val="auto"/>
                <w:sz w:val="24"/>
                <w:szCs w:val="24"/>
                <w:highlight w:val="none"/>
                <w:lang w:val="en-US" w:eastAsia="zh-CN"/>
              </w:rPr>
              <w:t>20</w:t>
            </w:r>
            <w:r>
              <w:rPr>
                <w:rFonts w:hint="eastAsia" w:ascii="宋体" w:hAnsi="宋体" w:eastAsia="宋体" w:cs="Times New Roman"/>
                <w:color w:val="auto"/>
                <w:sz w:val="24"/>
                <w:szCs w:val="24"/>
                <w:highlight w:val="none"/>
              </w:rPr>
              <w:t>分。</w:t>
            </w:r>
          </w:p>
          <w:p w14:paraId="2C9F5F05">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（2）未标注“▲”的技术参数要求，每一项负偏离扣1分，</w:t>
            </w:r>
            <w:r>
              <w:rPr>
                <w:rFonts w:hint="eastAsia" w:ascii="宋体" w:hAnsi="宋体" w:eastAsia="宋体" w:cs="Times New Roman"/>
                <w:color w:val="auto"/>
                <w:sz w:val="24"/>
                <w:szCs w:val="24"/>
                <w:highlight w:val="none"/>
                <w:lang w:val="en-US" w:eastAsia="zh-CN"/>
              </w:rPr>
              <w:t>21</w:t>
            </w:r>
            <w:r>
              <w:rPr>
                <w:rFonts w:hint="eastAsia" w:ascii="宋体" w:hAnsi="宋体" w:eastAsia="宋体" w:cs="Times New Roman"/>
                <w:color w:val="auto"/>
                <w:sz w:val="24"/>
                <w:szCs w:val="24"/>
                <w:highlight w:val="none"/>
              </w:rPr>
              <w:t>项（不含）以上存在负偏离的投标将被否决，本小项满分</w:t>
            </w:r>
            <w:r>
              <w:rPr>
                <w:rFonts w:hint="eastAsia" w:ascii="宋体" w:hAnsi="宋体" w:eastAsia="宋体" w:cs="Times New Roman"/>
                <w:color w:val="auto"/>
                <w:sz w:val="24"/>
                <w:szCs w:val="24"/>
                <w:highlight w:val="none"/>
                <w:lang w:val="en-US" w:eastAsia="zh-CN"/>
              </w:rPr>
              <w:t>21</w:t>
            </w:r>
            <w:r>
              <w:rPr>
                <w:rFonts w:hint="eastAsia" w:ascii="宋体" w:hAnsi="宋体" w:eastAsia="宋体" w:cs="Times New Roman"/>
                <w:color w:val="auto"/>
                <w:sz w:val="24"/>
                <w:szCs w:val="24"/>
                <w:highlight w:val="none"/>
              </w:rPr>
              <w:t>分。</w:t>
            </w:r>
          </w:p>
          <w:p w14:paraId="42FEE719">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注：以投标响应表中的技术响应表和采购需求中要求提供的证明材料作为评审依据。</w:t>
            </w:r>
          </w:p>
        </w:tc>
        <w:tc>
          <w:tcPr>
            <w:tcW w:w="927" w:type="pct"/>
            <w:tcBorders>
              <w:top w:val="single" w:color="auto" w:sz="4" w:space="0"/>
              <w:left w:val="nil"/>
              <w:bottom w:val="single" w:color="auto" w:sz="4" w:space="0"/>
              <w:right w:val="single" w:color="auto" w:sz="4" w:space="0"/>
            </w:tcBorders>
            <w:vAlign w:val="center"/>
          </w:tcPr>
          <w:p w14:paraId="05352187">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color w:val="auto"/>
                <w:sz w:val="24"/>
                <w:szCs w:val="24"/>
                <w:highlight w:val="none"/>
              </w:rPr>
              <w:t>0-</w:t>
            </w:r>
            <w:r>
              <w:rPr>
                <w:rFonts w:hint="eastAsia" w:ascii="宋体" w:hAnsi="宋体" w:eastAsia="宋体" w:cs="Times New Roman"/>
                <w:color w:val="auto"/>
                <w:sz w:val="24"/>
                <w:szCs w:val="24"/>
                <w:highlight w:val="none"/>
                <w:lang w:val="en-US" w:eastAsia="zh-CN"/>
              </w:rPr>
              <w:t>41</w:t>
            </w:r>
            <w:r>
              <w:rPr>
                <w:rFonts w:hint="eastAsia" w:ascii="宋体" w:hAnsi="宋体" w:eastAsia="宋体" w:cs="Times New Roman"/>
                <w:color w:val="auto"/>
                <w:sz w:val="24"/>
                <w:szCs w:val="24"/>
                <w:highlight w:val="none"/>
              </w:rPr>
              <w:t>分</w:t>
            </w:r>
          </w:p>
        </w:tc>
      </w:tr>
      <w:tr w14:paraId="10FB8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nil"/>
              <w:left w:val="single" w:color="auto" w:sz="4" w:space="0"/>
              <w:bottom w:val="single" w:color="auto" w:sz="4" w:space="0"/>
              <w:right w:val="single" w:color="auto" w:sz="4" w:space="0"/>
            </w:tcBorders>
            <w:vAlign w:val="center"/>
          </w:tcPr>
          <w:p w14:paraId="77EDB424">
            <w:pPr>
              <w:widowControl/>
              <w:jc w:val="left"/>
              <w:rPr>
                <w:rFonts w:hint="eastAsia" w:ascii="宋体" w:hAnsi="宋体" w:eastAsia="宋体" w:cs="Times New Roman"/>
                <w:b/>
                <w:bCs/>
                <w:color w:val="auto"/>
                <w:sz w:val="24"/>
                <w:szCs w:val="24"/>
                <w:highlight w:val="none"/>
              </w:rPr>
            </w:pPr>
          </w:p>
        </w:tc>
        <w:tc>
          <w:tcPr>
            <w:tcW w:w="1009" w:type="pct"/>
            <w:tcBorders>
              <w:top w:val="single" w:color="auto" w:sz="4" w:space="0"/>
              <w:left w:val="nil"/>
              <w:bottom w:val="single" w:color="auto" w:sz="4" w:space="0"/>
              <w:right w:val="single" w:color="auto" w:sz="4" w:space="0"/>
            </w:tcBorders>
            <w:vAlign w:val="center"/>
          </w:tcPr>
          <w:p w14:paraId="3AE6B0F0">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项目重难点的应对措施</w:t>
            </w:r>
          </w:p>
        </w:tc>
        <w:tc>
          <w:tcPr>
            <w:tcW w:w="2197" w:type="pct"/>
            <w:tcBorders>
              <w:top w:val="single" w:color="auto" w:sz="4" w:space="0"/>
              <w:left w:val="nil"/>
              <w:bottom w:val="single" w:color="auto" w:sz="4" w:space="0"/>
              <w:right w:val="single" w:color="auto" w:sz="4" w:space="0"/>
            </w:tcBorders>
            <w:vAlign w:val="center"/>
          </w:tcPr>
          <w:p w14:paraId="09418543">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评标委员会根据招标文件要求及投标人提供的项目重难点应对措施，进行综合评分：</w:t>
            </w:r>
          </w:p>
          <w:p w14:paraId="5DA55CCF">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（1）措施完整详细，可行性、实用性、针对性较强，优于本项目采购需求的，得5分。</w:t>
            </w:r>
          </w:p>
          <w:p w14:paraId="78505FC4">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（2）措施基本完整，具有可行性、实用性、针对性，适合本项目采购需求的，得3分。</w:t>
            </w:r>
          </w:p>
          <w:p w14:paraId="310B34AC">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（3）措施有待提升，可行性、实用性、针对性有待完善，基本适合本项目采购需求的，得1分。</w:t>
            </w:r>
          </w:p>
          <w:p w14:paraId="2C324A5E">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（4）方案不可行或未提供的，得0分。</w:t>
            </w:r>
          </w:p>
        </w:tc>
        <w:tc>
          <w:tcPr>
            <w:tcW w:w="927" w:type="pct"/>
            <w:tcBorders>
              <w:top w:val="single" w:color="auto" w:sz="4" w:space="0"/>
              <w:left w:val="nil"/>
              <w:bottom w:val="single" w:color="auto" w:sz="4" w:space="0"/>
              <w:right w:val="single" w:color="auto" w:sz="4" w:space="0"/>
            </w:tcBorders>
            <w:vAlign w:val="center"/>
          </w:tcPr>
          <w:p w14:paraId="72B5AF76">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color w:val="auto"/>
                <w:sz w:val="24"/>
                <w:szCs w:val="24"/>
                <w:highlight w:val="none"/>
              </w:rPr>
              <w:t>0-5分</w:t>
            </w:r>
          </w:p>
        </w:tc>
      </w:tr>
      <w:tr w14:paraId="7BB46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nil"/>
              <w:left w:val="single" w:color="auto" w:sz="4" w:space="0"/>
              <w:bottom w:val="single" w:color="auto" w:sz="4" w:space="0"/>
              <w:right w:val="single" w:color="auto" w:sz="4" w:space="0"/>
            </w:tcBorders>
            <w:vAlign w:val="center"/>
          </w:tcPr>
          <w:p w14:paraId="39F02E90">
            <w:pPr>
              <w:widowControl/>
              <w:jc w:val="left"/>
              <w:rPr>
                <w:rFonts w:hint="eastAsia" w:ascii="宋体" w:hAnsi="宋体" w:eastAsia="宋体" w:cs="Times New Roman"/>
                <w:b/>
                <w:bCs/>
                <w:color w:val="auto"/>
                <w:sz w:val="24"/>
                <w:szCs w:val="24"/>
                <w:highlight w:val="none"/>
              </w:rPr>
            </w:pPr>
          </w:p>
        </w:tc>
        <w:tc>
          <w:tcPr>
            <w:tcW w:w="1009" w:type="pct"/>
            <w:tcBorders>
              <w:top w:val="single" w:color="auto" w:sz="4" w:space="0"/>
              <w:left w:val="nil"/>
              <w:bottom w:val="single" w:color="auto" w:sz="4" w:space="0"/>
              <w:right w:val="single" w:color="auto" w:sz="4" w:space="0"/>
            </w:tcBorders>
            <w:vAlign w:val="center"/>
          </w:tcPr>
          <w:p w14:paraId="3456532C">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供货方案</w:t>
            </w:r>
          </w:p>
        </w:tc>
        <w:tc>
          <w:tcPr>
            <w:tcW w:w="2197" w:type="pct"/>
            <w:tcBorders>
              <w:top w:val="single" w:color="auto" w:sz="4" w:space="0"/>
              <w:left w:val="nil"/>
              <w:bottom w:val="single" w:color="auto" w:sz="4" w:space="0"/>
              <w:right w:val="single" w:color="auto" w:sz="4" w:space="0"/>
            </w:tcBorders>
            <w:vAlign w:val="center"/>
          </w:tcPr>
          <w:p w14:paraId="18814FF9">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评标委员会根据招标文件要求及投标人提供的供货方案</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lang w:val="en-US" w:eastAsia="zh-CN"/>
              </w:rPr>
              <w:t>包含但不限于供货周期、整机防震运输、探头配套同步交付、到货清点验收流程等</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，进行综合评分：</w:t>
            </w:r>
          </w:p>
          <w:p w14:paraId="3439F4C9">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（1）方案全面，组织架构科学，人员配置合理，响应时间快，可行性、实用性、针对性较强，优于本项目采购需求的，得5分。</w:t>
            </w:r>
          </w:p>
          <w:p w14:paraId="0D0CAFB5">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（2）方案较全面，组织架构较合理，人员配置较合理，响应时间较快，具有可行性、实用性、针对性，适合本项目采购需求的，得3分。</w:t>
            </w:r>
          </w:p>
          <w:p w14:paraId="36B964F4">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（3）方案有待提升，可行性、实用性、针对性有待完善，基本适合本项目采购需求的，得1分。</w:t>
            </w:r>
          </w:p>
          <w:p w14:paraId="09A94513">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（4）方案不可行或未提供的，得0分。</w:t>
            </w:r>
          </w:p>
        </w:tc>
        <w:tc>
          <w:tcPr>
            <w:tcW w:w="927" w:type="pct"/>
            <w:tcBorders>
              <w:top w:val="single" w:color="auto" w:sz="4" w:space="0"/>
              <w:left w:val="nil"/>
              <w:bottom w:val="single" w:color="auto" w:sz="4" w:space="0"/>
              <w:right w:val="single" w:color="auto" w:sz="4" w:space="0"/>
            </w:tcBorders>
            <w:vAlign w:val="center"/>
          </w:tcPr>
          <w:p w14:paraId="0BB779F2">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0-5分</w:t>
            </w:r>
          </w:p>
        </w:tc>
      </w:tr>
      <w:tr w14:paraId="2B36E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nil"/>
              <w:left w:val="single" w:color="auto" w:sz="4" w:space="0"/>
              <w:bottom w:val="single" w:color="auto" w:sz="4" w:space="0"/>
              <w:right w:val="single" w:color="auto" w:sz="4" w:space="0"/>
            </w:tcBorders>
            <w:vAlign w:val="center"/>
          </w:tcPr>
          <w:p w14:paraId="4DE05877">
            <w:pPr>
              <w:widowControl/>
              <w:jc w:val="left"/>
              <w:rPr>
                <w:rFonts w:hint="eastAsia" w:ascii="宋体" w:hAnsi="宋体" w:eastAsia="宋体" w:cs="Times New Roman"/>
                <w:b/>
                <w:bCs/>
                <w:color w:val="auto"/>
                <w:sz w:val="24"/>
                <w:szCs w:val="24"/>
                <w:highlight w:val="none"/>
              </w:rPr>
            </w:pPr>
          </w:p>
        </w:tc>
        <w:tc>
          <w:tcPr>
            <w:tcW w:w="1009" w:type="pct"/>
            <w:tcBorders>
              <w:top w:val="single" w:color="auto" w:sz="4" w:space="0"/>
              <w:left w:val="nil"/>
              <w:bottom w:val="single" w:color="auto" w:sz="4" w:space="0"/>
              <w:right w:val="single" w:color="auto" w:sz="4" w:space="0"/>
            </w:tcBorders>
            <w:vAlign w:val="center"/>
          </w:tcPr>
          <w:p w14:paraId="717B2E63">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安装调试方案</w:t>
            </w:r>
          </w:p>
        </w:tc>
        <w:tc>
          <w:tcPr>
            <w:tcW w:w="2197" w:type="pct"/>
            <w:tcBorders>
              <w:top w:val="single" w:color="auto" w:sz="4" w:space="0"/>
              <w:left w:val="nil"/>
              <w:bottom w:val="single" w:color="auto" w:sz="4" w:space="0"/>
              <w:right w:val="single" w:color="auto" w:sz="4" w:space="0"/>
            </w:tcBorders>
            <w:vAlign w:val="center"/>
          </w:tcPr>
          <w:p w14:paraId="38600F15">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评标委员会根据投标人提供的安装调试方案</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lang w:val="en-US" w:eastAsia="zh-CN"/>
              </w:rPr>
              <w:t>包含但不限于整机布线、探头校准、图像参数调试、临床成像测试等</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进行综合评分：</w:t>
            </w:r>
          </w:p>
          <w:p w14:paraId="4ABE02E9">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（1）安装调试过程中提供充足的备品备件、辅材，能够在规定时间内完成安装调试任务，优于本项目采购需求的，得5分；</w:t>
            </w:r>
          </w:p>
          <w:p w14:paraId="6268FA12">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（2）供货安装过程中提供的备品备件、辅材预留情况基本满足项目需求，能够在规定时间内完成安装调试任务，适合本项目采购需求的，得3分；</w:t>
            </w:r>
          </w:p>
          <w:p w14:paraId="39A7D223">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（3）供货安装过程中提供的备品备件、辅材预留情况有待完善，能够在规定时间内完成安装调试任务的，得1分；</w:t>
            </w:r>
          </w:p>
          <w:p w14:paraId="72FBAA2A">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（4）方案不可行或者未提供，得0分。</w:t>
            </w:r>
          </w:p>
        </w:tc>
        <w:tc>
          <w:tcPr>
            <w:tcW w:w="927" w:type="pct"/>
            <w:tcBorders>
              <w:top w:val="single" w:color="auto" w:sz="4" w:space="0"/>
              <w:left w:val="nil"/>
              <w:bottom w:val="single" w:color="auto" w:sz="4" w:space="0"/>
              <w:right w:val="single" w:color="auto" w:sz="4" w:space="0"/>
            </w:tcBorders>
            <w:vAlign w:val="center"/>
          </w:tcPr>
          <w:p w14:paraId="14E52231">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0-5分</w:t>
            </w:r>
          </w:p>
        </w:tc>
      </w:tr>
      <w:tr w14:paraId="6A331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nil"/>
              <w:left w:val="single" w:color="auto" w:sz="4" w:space="0"/>
              <w:bottom w:val="single" w:color="auto" w:sz="4" w:space="0"/>
              <w:right w:val="single" w:color="auto" w:sz="4" w:space="0"/>
            </w:tcBorders>
            <w:vAlign w:val="center"/>
          </w:tcPr>
          <w:p w14:paraId="4CF42474">
            <w:pPr>
              <w:widowControl/>
              <w:jc w:val="left"/>
              <w:rPr>
                <w:rFonts w:hint="eastAsia" w:ascii="宋体" w:hAnsi="宋体" w:eastAsia="宋体" w:cs="Times New Roman"/>
                <w:b/>
                <w:bCs/>
                <w:color w:val="auto"/>
                <w:sz w:val="24"/>
                <w:szCs w:val="24"/>
                <w:highlight w:val="none"/>
              </w:rPr>
            </w:pPr>
          </w:p>
        </w:tc>
        <w:tc>
          <w:tcPr>
            <w:tcW w:w="1009" w:type="pct"/>
            <w:tcBorders>
              <w:top w:val="single" w:color="auto" w:sz="4" w:space="0"/>
              <w:left w:val="nil"/>
              <w:bottom w:val="single" w:color="auto" w:sz="4" w:space="0"/>
              <w:right w:val="single" w:color="auto" w:sz="4" w:space="0"/>
            </w:tcBorders>
            <w:vAlign w:val="center"/>
          </w:tcPr>
          <w:p w14:paraId="1D8E9945">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售后服务方案</w:t>
            </w:r>
          </w:p>
        </w:tc>
        <w:tc>
          <w:tcPr>
            <w:tcW w:w="2197" w:type="pct"/>
            <w:tcBorders>
              <w:top w:val="single" w:color="auto" w:sz="4" w:space="0"/>
              <w:left w:val="nil"/>
              <w:bottom w:val="single" w:color="auto" w:sz="4" w:space="0"/>
              <w:right w:val="single" w:color="auto" w:sz="4" w:space="0"/>
            </w:tcBorders>
            <w:vAlign w:val="center"/>
          </w:tcPr>
          <w:p w14:paraId="17F9D12D">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评标委员会根据招标文件要求及投标人提供的售后服务方案</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lang w:val="en-US" w:eastAsia="zh-CN"/>
              </w:rPr>
              <w:t>包含但不限于抢修时效、探头备件、设备巡检、医护实操培训等</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，进行综合评分：</w:t>
            </w:r>
          </w:p>
          <w:p w14:paraId="7B7F75BD">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（1）具有完善的售后服务计划、措施，技术支持快速及时，培训方案完整详细，可行性、实用性、针对性较强，优于本项目采购需求的，得5分；</w:t>
            </w:r>
          </w:p>
          <w:p w14:paraId="064C5E67">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（2）售后服务计划、措施基本完善，培训内容基本详实，技术支持及时，培训方案基本完整，具有可行性、实用性、针对性，能够保障本项目采购需求的，得3分；</w:t>
            </w:r>
          </w:p>
          <w:p w14:paraId="17CB53A9">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（3）售后服务方案、培训方案有待提升，可行性、实用性、针对性有待完善，基本保障本项目采购需求的，得1分；</w:t>
            </w:r>
          </w:p>
          <w:p w14:paraId="42F98E57">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（4）方案不可行或未提供的得0分。</w:t>
            </w:r>
          </w:p>
        </w:tc>
        <w:tc>
          <w:tcPr>
            <w:tcW w:w="927" w:type="pct"/>
            <w:tcBorders>
              <w:top w:val="single" w:color="auto" w:sz="4" w:space="0"/>
              <w:left w:val="nil"/>
              <w:bottom w:val="single" w:color="auto" w:sz="4" w:space="0"/>
              <w:right w:val="single" w:color="auto" w:sz="4" w:space="0"/>
            </w:tcBorders>
            <w:vAlign w:val="center"/>
          </w:tcPr>
          <w:p w14:paraId="269BCEF0">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0-5分</w:t>
            </w:r>
          </w:p>
        </w:tc>
      </w:tr>
      <w:tr w14:paraId="1DF8C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nil"/>
              <w:left w:val="single" w:color="auto" w:sz="4" w:space="0"/>
              <w:bottom w:val="single" w:color="auto" w:sz="4" w:space="0"/>
              <w:right w:val="single" w:color="auto" w:sz="4" w:space="0"/>
            </w:tcBorders>
            <w:vAlign w:val="center"/>
          </w:tcPr>
          <w:p w14:paraId="0798D372">
            <w:pPr>
              <w:widowControl/>
              <w:jc w:val="left"/>
              <w:rPr>
                <w:rFonts w:hint="eastAsia" w:ascii="宋体" w:hAnsi="宋体" w:eastAsia="宋体" w:cs="Times New Roman"/>
                <w:b/>
                <w:bCs/>
                <w:color w:val="auto"/>
                <w:sz w:val="24"/>
                <w:szCs w:val="24"/>
                <w:highlight w:val="none"/>
              </w:rPr>
            </w:pPr>
          </w:p>
        </w:tc>
        <w:tc>
          <w:tcPr>
            <w:tcW w:w="1009" w:type="pct"/>
            <w:tcBorders>
              <w:top w:val="single" w:color="auto" w:sz="4" w:space="0"/>
              <w:left w:val="nil"/>
              <w:bottom w:val="single" w:color="auto" w:sz="4" w:space="0"/>
              <w:right w:val="single" w:color="auto" w:sz="4" w:space="0"/>
            </w:tcBorders>
            <w:vAlign w:val="center"/>
          </w:tcPr>
          <w:p w14:paraId="2D1944E4">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优惠承诺及增值服务</w:t>
            </w:r>
          </w:p>
        </w:tc>
        <w:tc>
          <w:tcPr>
            <w:tcW w:w="2197" w:type="pct"/>
            <w:tcBorders>
              <w:top w:val="single" w:color="auto" w:sz="4" w:space="0"/>
              <w:left w:val="nil"/>
              <w:bottom w:val="single" w:color="auto" w:sz="4" w:space="0"/>
              <w:right w:val="single" w:color="auto" w:sz="4" w:space="0"/>
            </w:tcBorders>
            <w:vAlign w:val="center"/>
          </w:tcPr>
          <w:p w14:paraId="6003E017">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评标委员根据投标人提供的优惠承诺及增值服务对于采购人的实际经济效益进行评审：</w:t>
            </w:r>
          </w:p>
          <w:p w14:paraId="10E18E99">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（1）有具体优惠条件及增值服务，且优惠条件及增值服务实用性强，实际价值高的，得5分；</w:t>
            </w:r>
          </w:p>
          <w:p w14:paraId="6AB2D81B">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（2）有具体的优惠条件及增值服务，且优惠条件及增值服务具有实用性的，得3分；</w:t>
            </w:r>
          </w:p>
          <w:p w14:paraId="6B5A6312">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（3）有优惠条件及增值服务，实用性有待提升的，得1分；</w:t>
            </w:r>
          </w:p>
          <w:p w14:paraId="01F2F966">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（4）未提供的，得0分。</w:t>
            </w:r>
          </w:p>
        </w:tc>
        <w:tc>
          <w:tcPr>
            <w:tcW w:w="927" w:type="pct"/>
            <w:tcBorders>
              <w:top w:val="single" w:color="auto" w:sz="4" w:space="0"/>
              <w:left w:val="nil"/>
              <w:bottom w:val="single" w:color="auto" w:sz="4" w:space="0"/>
              <w:right w:val="single" w:color="auto" w:sz="4" w:space="0"/>
            </w:tcBorders>
            <w:vAlign w:val="center"/>
          </w:tcPr>
          <w:p w14:paraId="24F62868">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color w:val="auto"/>
                <w:sz w:val="24"/>
                <w:szCs w:val="24"/>
                <w:highlight w:val="none"/>
              </w:rPr>
              <w:t>0-5分</w:t>
            </w:r>
          </w:p>
        </w:tc>
      </w:tr>
      <w:tr w14:paraId="10930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5" w:type="pct"/>
            <w:tcBorders>
              <w:top w:val="single" w:color="auto" w:sz="4" w:space="0"/>
              <w:left w:val="single" w:color="auto" w:sz="4" w:space="0"/>
              <w:bottom w:val="single" w:color="auto" w:sz="4" w:space="0"/>
              <w:right w:val="single" w:color="auto" w:sz="4" w:space="0"/>
            </w:tcBorders>
            <w:vAlign w:val="center"/>
          </w:tcPr>
          <w:p w14:paraId="509623AF">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价格分</w:t>
            </w:r>
          </w:p>
          <w:p w14:paraId="249C39F5">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u w:val="single"/>
              </w:rPr>
              <w:t>30</w:t>
            </w:r>
            <w:r>
              <w:rPr>
                <w:rFonts w:hint="eastAsia" w:ascii="宋体" w:hAnsi="宋体" w:eastAsia="宋体" w:cs="Times New Roman"/>
                <w:color w:val="auto"/>
                <w:sz w:val="24"/>
                <w:szCs w:val="24"/>
                <w:highlight w:val="none"/>
              </w:rPr>
              <w:t>分）</w:t>
            </w:r>
          </w:p>
        </w:tc>
        <w:tc>
          <w:tcPr>
            <w:tcW w:w="4134" w:type="pct"/>
            <w:gridSpan w:val="3"/>
            <w:tcBorders>
              <w:top w:val="single" w:color="auto" w:sz="4" w:space="0"/>
              <w:left w:val="nil"/>
              <w:bottom w:val="single" w:color="auto" w:sz="4" w:space="0"/>
              <w:right w:val="single" w:color="auto" w:sz="4" w:space="0"/>
            </w:tcBorders>
            <w:vAlign w:val="center"/>
          </w:tcPr>
          <w:p w14:paraId="41D0CE0A">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价格分统一采用低价优先法，即满足招标文件要求且投标价格最低的投标报价为评标基准价，其价格分为满分30分。其他投标人的价格分统一按照下列公式计算：</w:t>
            </w:r>
          </w:p>
          <w:p w14:paraId="7FFFE090">
            <w:pPr>
              <w:spacing w:line="360" w:lineRule="auto"/>
              <w:rPr>
                <w:rFonts w:hint="eastAsia" w:ascii="宋体" w:hAnsi="宋体" w:eastAsia="宋体" w:cs="Times New Roman"/>
                <w:b/>
                <w:bCs/>
                <w:color w:val="auto"/>
                <w:sz w:val="24"/>
                <w:szCs w:val="24"/>
                <w:highlight w:val="none"/>
              </w:rPr>
            </w:pPr>
            <w:r>
              <w:rPr>
                <w:rFonts w:hint="eastAsia" w:ascii="宋体" w:hAnsi="宋体" w:eastAsia="宋体" w:cs="Times New Roman"/>
                <w:color w:val="auto"/>
                <w:sz w:val="24"/>
                <w:szCs w:val="24"/>
                <w:highlight w:val="none"/>
              </w:rPr>
              <w:t>投标报价得分＝（评标基准价/投标报价）×30％×100</w:t>
            </w:r>
          </w:p>
        </w:tc>
      </w:tr>
    </w:tbl>
    <w:p w14:paraId="5E2F7137">
      <w:pPr>
        <w:pStyle w:val="2"/>
        <w:keepNext w:val="0"/>
        <w:keepLines w:val="0"/>
        <w:pageBreakBefore w:val="0"/>
        <w:widowControl w:val="0"/>
        <w:kinsoku/>
        <w:wordWrap/>
        <w:overflowPunct/>
        <w:topLinePunct w:val="0"/>
        <w:autoSpaceDE/>
        <w:autoSpaceDN/>
        <w:bidi w:val="0"/>
        <w:adjustRightInd/>
        <w:snapToGrid/>
        <w:ind w:left="0" w:leftChars="0" w:firstLine="0" w:firstLineChars="0"/>
        <w:textAlignment w:val="auto"/>
        <w:outlineLvl w:val="3"/>
        <w:rPr>
          <w:rFonts w:hint="default" w:cs="@仿宋_GB2312" w:asciiTheme="minorEastAsia" w:hAnsiTheme="minorEastAsia" w:eastAsiaTheme="minorEastAsia"/>
          <w:b w:val="0"/>
          <w:color w:val="auto"/>
          <w:kern w:val="2"/>
          <w:sz w:val="24"/>
          <w:szCs w:val="20"/>
          <w:highlight w:val="none"/>
          <w:lang w:val="en-US" w:eastAsia="zh-CN" w:bidi="ar-SA"/>
        </w:rPr>
      </w:pPr>
      <w:r>
        <w:rPr>
          <w:rFonts w:hint="eastAsia" w:cs="@仿宋_GB2312" w:asciiTheme="minorEastAsia" w:hAnsiTheme="minorEastAsia" w:eastAsiaTheme="minorEastAsia"/>
          <w:b w:val="0"/>
          <w:color w:val="auto"/>
          <w:kern w:val="2"/>
          <w:sz w:val="24"/>
          <w:szCs w:val="20"/>
          <w:highlight w:val="none"/>
          <w:lang w:val="en-US" w:eastAsia="zh-CN" w:bidi="ar-SA"/>
        </w:rPr>
        <w:t>08包：</w:t>
      </w:r>
    </w:p>
    <w:tbl>
      <w:tblPr>
        <w:tblStyle w:val="2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75"/>
        <w:gridCol w:w="1720"/>
        <w:gridCol w:w="3745"/>
        <w:gridCol w:w="1582"/>
      </w:tblGrid>
      <w:tr w14:paraId="059AF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865" w:type="pct"/>
            <w:tcBorders>
              <w:top w:val="single" w:color="auto" w:sz="4" w:space="0"/>
              <w:left w:val="single" w:color="auto" w:sz="4" w:space="0"/>
              <w:bottom w:val="single" w:color="auto" w:sz="4" w:space="0"/>
              <w:right w:val="single" w:color="auto" w:sz="4" w:space="0"/>
            </w:tcBorders>
            <w:vAlign w:val="center"/>
          </w:tcPr>
          <w:p w14:paraId="74DBB635">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b/>
                <w:bCs/>
                <w:color w:val="auto"/>
                <w:sz w:val="24"/>
                <w:szCs w:val="24"/>
                <w:highlight w:val="none"/>
              </w:rPr>
              <w:t>类别</w:t>
            </w:r>
          </w:p>
        </w:tc>
        <w:tc>
          <w:tcPr>
            <w:tcW w:w="1009" w:type="pct"/>
            <w:tcBorders>
              <w:top w:val="single" w:color="auto" w:sz="4" w:space="0"/>
              <w:left w:val="nil"/>
              <w:bottom w:val="single" w:color="auto" w:sz="4" w:space="0"/>
              <w:right w:val="single" w:color="auto" w:sz="4" w:space="0"/>
            </w:tcBorders>
            <w:vAlign w:val="center"/>
          </w:tcPr>
          <w:p w14:paraId="534460EF">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b/>
                <w:bCs/>
                <w:color w:val="auto"/>
                <w:sz w:val="24"/>
                <w:szCs w:val="24"/>
                <w:highlight w:val="none"/>
              </w:rPr>
              <w:t>评分内容</w:t>
            </w:r>
          </w:p>
        </w:tc>
        <w:tc>
          <w:tcPr>
            <w:tcW w:w="2197" w:type="pct"/>
            <w:tcBorders>
              <w:top w:val="single" w:color="auto" w:sz="4" w:space="0"/>
              <w:left w:val="nil"/>
              <w:bottom w:val="single" w:color="auto" w:sz="4" w:space="0"/>
              <w:right w:val="single" w:color="auto" w:sz="4" w:space="0"/>
            </w:tcBorders>
            <w:vAlign w:val="center"/>
          </w:tcPr>
          <w:p w14:paraId="2864D2A7">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b/>
                <w:bCs/>
                <w:color w:val="auto"/>
                <w:sz w:val="24"/>
                <w:szCs w:val="24"/>
                <w:highlight w:val="none"/>
              </w:rPr>
              <w:t>评分标准</w:t>
            </w:r>
          </w:p>
        </w:tc>
        <w:tc>
          <w:tcPr>
            <w:tcW w:w="927" w:type="pct"/>
            <w:tcBorders>
              <w:top w:val="single" w:color="auto" w:sz="4" w:space="0"/>
              <w:left w:val="nil"/>
              <w:bottom w:val="single" w:color="auto" w:sz="4" w:space="0"/>
              <w:right w:val="single" w:color="auto" w:sz="4" w:space="0"/>
            </w:tcBorders>
            <w:vAlign w:val="center"/>
          </w:tcPr>
          <w:p w14:paraId="516742EE">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b/>
                <w:bCs/>
                <w:color w:val="auto"/>
                <w:sz w:val="24"/>
                <w:szCs w:val="24"/>
                <w:highlight w:val="none"/>
              </w:rPr>
              <w:t>分值范围</w:t>
            </w:r>
          </w:p>
        </w:tc>
      </w:tr>
      <w:tr w14:paraId="4AD4A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5" w:type="pct"/>
            <w:vMerge w:val="restart"/>
            <w:tcBorders>
              <w:top w:val="nil"/>
              <w:left w:val="single" w:color="auto" w:sz="4" w:space="0"/>
              <w:bottom w:val="single" w:color="auto" w:sz="4" w:space="0"/>
              <w:right w:val="single" w:color="auto" w:sz="4" w:space="0"/>
            </w:tcBorders>
            <w:vAlign w:val="center"/>
          </w:tcPr>
          <w:p w14:paraId="1DBAC4EA">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技术资信分</w:t>
            </w:r>
          </w:p>
          <w:p w14:paraId="1FC8FA88">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u w:val="single"/>
              </w:rPr>
              <w:t>70</w:t>
            </w:r>
            <w:r>
              <w:rPr>
                <w:rFonts w:hint="eastAsia" w:ascii="宋体" w:hAnsi="宋体" w:eastAsia="宋体" w:cs="Times New Roman"/>
                <w:color w:val="auto"/>
                <w:sz w:val="24"/>
                <w:szCs w:val="24"/>
                <w:highlight w:val="none"/>
              </w:rPr>
              <w:t>分）</w:t>
            </w:r>
          </w:p>
        </w:tc>
        <w:tc>
          <w:tcPr>
            <w:tcW w:w="1009" w:type="pct"/>
            <w:tcBorders>
              <w:top w:val="single" w:color="auto" w:sz="4" w:space="0"/>
              <w:left w:val="nil"/>
              <w:bottom w:val="single" w:color="auto" w:sz="4" w:space="0"/>
              <w:right w:val="single" w:color="auto" w:sz="4" w:space="0"/>
            </w:tcBorders>
            <w:vAlign w:val="center"/>
          </w:tcPr>
          <w:p w14:paraId="3B7B3EE3">
            <w:pPr>
              <w:spacing w:line="360" w:lineRule="auto"/>
              <w:jc w:val="center"/>
              <w:rPr>
                <w:rFonts w:hint="eastAsia"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产品业绩</w:t>
            </w:r>
          </w:p>
        </w:tc>
        <w:tc>
          <w:tcPr>
            <w:tcW w:w="2197" w:type="pct"/>
            <w:tcBorders>
              <w:top w:val="single" w:color="auto" w:sz="4" w:space="0"/>
              <w:left w:val="nil"/>
              <w:bottom w:val="single" w:color="auto" w:sz="4" w:space="0"/>
              <w:right w:val="single" w:color="auto" w:sz="4" w:space="0"/>
            </w:tcBorders>
            <w:vAlign w:val="center"/>
          </w:tcPr>
          <w:p w14:paraId="38386ECD">
            <w:pPr>
              <w:spacing w:line="360" w:lineRule="auto"/>
              <w:rPr>
                <w:rFonts w:hint="eastAsia"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每提供1个自2023年1月1日起（以合同签订时间为准）</w:t>
            </w:r>
            <w:r>
              <w:rPr>
                <w:rFonts w:hint="eastAsia" w:ascii="宋体" w:hAnsi="宋体" w:eastAsia="宋体" w:cs="Times New Roman"/>
                <w:bCs/>
                <w:color w:val="auto"/>
                <w:sz w:val="24"/>
                <w:szCs w:val="24"/>
                <w:highlight w:val="none"/>
              </w:rPr>
              <w:t>核心产品</w:t>
            </w:r>
            <w:r>
              <w:rPr>
                <w:rFonts w:hint="eastAsia" w:ascii="宋体" w:hAnsi="宋体" w:eastAsia="宋体" w:cs="Times New Roman"/>
                <w:bCs/>
                <w:color w:val="auto"/>
                <w:sz w:val="24"/>
                <w:szCs w:val="24"/>
                <w:highlight w:val="none"/>
              </w:rPr>
              <w:t>为医疗机构供货的业绩，得2分，满分</w:t>
            </w:r>
            <w:r>
              <w:rPr>
                <w:rFonts w:hint="eastAsia" w:ascii="宋体" w:hAnsi="宋体" w:eastAsia="宋体" w:cs="Times New Roman"/>
                <w:bCs/>
                <w:color w:val="auto"/>
                <w:sz w:val="24"/>
                <w:szCs w:val="24"/>
                <w:highlight w:val="none"/>
                <w:lang w:val="en-US" w:eastAsia="zh-CN"/>
              </w:rPr>
              <w:t>4</w:t>
            </w:r>
            <w:r>
              <w:rPr>
                <w:rFonts w:hint="eastAsia" w:ascii="宋体" w:hAnsi="宋体" w:eastAsia="宋体" w:cs="Times New Roman"/>
                <w:bCs/>
                <w:color w:val="auto"/>
                <w:sz w:val="24"/>
                <w:szCs w:val="24"/>
                <w:highlight w:val="none"/>
              </w:rPr>
              <w:t>分。</w:t>
            </w:r>
          </w:p>
          <w:p w14:paraId="3BB1C222">
            <w:pPr>
              <w:spacing w:line="360" w:lineRule="auto"/>
              <w:rPr>
                <w:rFonts w:hint="eastAsia"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注：（1）提供合同扫描件（体现合同签订时间、核心产品、合同甲方等评审因素；业绩合同乙方主体不限，合同甲方主体须为医疗机构）；（2）如上述业绩证明材料不能体现相应评审因素，需同时提供业绩合同甲方（或合同业主）盖章证明材料，否则不得分。</w:t>
            </w:r>
          </w:p>
        </w:tc>
        <w:tc>
          <w:tcPr>
            <w:tcW w:w="927" w:type="pct"/>
            <w:tcBorders>
              <w:top w:val="single" w:color="auto" w:sz="4" w:space="0"/>
              <w:left w:val="nil"/>
              <w:bottom w:val="single" w:color="auto" w:sz="4" w:space="0"/>
              <w:right w:val="single" w:color="auto" w:sz="4" w:space="0"/>
            </w:tcBorders>
            <w:vAlign w:val="center"/>
          </w:tcPr>
          <w:p w14:paraId="27223696">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0-</w:t>
            </w:r>
            <w:r>
              <w:rPr>
                <w:rFonts w:hint="eastAsia" w:ascii="宋体" w:hAnsi="宋体" w:eastAsia="宋体" w:cs="Times New Roman"/>
                <w:color w:val="auto"/>
                <w:sz w:val="24"/>
                <w:szCs w:val="24"/>
                <w:highlight w:val="none"/>
                <w:lang w:val="en-US" w:eastAsia="zh-CN"/>
              </w:rPr>
              <w:t>4</w:t>
            </w:r>
            <w:r>
              <w:rPr>
                <w:rFonts w:hint="eastAsia" w:ascii="宋体" w:hAnsi="宋体" w:eastAsia="宋体" w:cs="Times New Roman"/>
                <w:color w:val="auto"/>
                <w:sz w:val="24"/>
                <w:szCs w:val="24"/>
                <w:highlight w:val="none"/>
              </w:rPr>
              <w:t>分</w:t>
            </w:r>
          </w:p>
        </w:tc>
      </w:tr>
      <w:tr w14:paraId="55B7C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nil"/>
              <w:left w:val="single" w:color="auto" w:sz="4" w:space="0"/>
              <w:bottom w:val="single" w:color="auto" w:sz="4" w:space="0"/>
              <w:right w:val="single" w:color="auto" w:sz="4" w:space="0"/>
            </w:tcBorders>
            <w:vAlign w:val="center"/>
          </w:tcPr>
          <w:p w14:paraId="1966D654">
            <w:pPr>
              <w:widowControl/>
              <w:jc w:val="left"/>
              <w:rPr>
                <w:rFonts w:hint="eastAsia" w:ascii="宋体" w:hAnsi="宋体" w:eastAsia="宋体" w:cs="Times New Roman"/>
                <w:b/>
                <w:bCs/>
                <w:color w:val="auto"/>
                <w:sz w:val="24"/>
                <w:szCs w:val="24"/>
                <w:highlight w:val="none"/>
              </w:rPr>
            </w:pPr>
          </w:p>
        </w:tc>
        <w:tc>
          <w:tcPr>
            <w:tcW w:w="1009" w:type="pct"/>
            <w:tcBorders>
              <w:top w:val="single" w:color="auto" w:sz="4" w:space="0"/>
              <w:left w:val="nil"/>
              <w:bottom w:val="single" w:color="auto" w:sz="4" w:space="0"/>
              <w:right w:val="single" w:color="auto" w:sz="4" w:space="0"/>
            </w:tcBorders>
            <w:vAlign w:val="center"/>
          </w:tcPr>
          <w:p w14:paraId="3E7A65E7">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技术参数及要求响应情况</w:t>
            </w:r>
          </w:p>
        </w:tc>
        <w:tc>
          <w:tcPr>
            <w:tcW w:w="2197" w:type="pct"/>
            <w:tcBorders>
              <w:top w:val="single" w:color="auto" w:sz="4" w:space="0"/>
              <w:left w:val="nil"/>
              <w:bottom w:val="single" w:color="auto" w:sz="4" w:space="0"/>
              <w:right w:val="single" w:color="auto" w:sz="4" w:space="0"/>
            </w:tcBorders>
            <w:vAlign w:val="center"/>
          </w:tcPr>
          <w:p w14:paraId="5D6AE4E2">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根据投标人对招标文件的《第三章 采购需求》中“二、货物需求一览表”的技术参数及要求响应情况进行评分：</w:t>
            </w:r>
          </w:p>
          <w:p w14:paraId="20D8D9FA">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（1）标注“</w:t>
            </w:r>
            <w:r>
              <w:rPr>
                <w:rFonts w:hint="eastAsia" w:ascii="宋体" w:hAnsi="宋体" w:eastAsia="宋体" w:cs="Times New Roman"/>
                <w:color w:val="auto"/>
                <w:sz w:val="24"/>
                <w:szCs w:val="24"/>
                <w:highlight w:val="none"/>
                <w:lang w:val="en-US" w:eastAsia="zh-CN"/>
              </w:rPr>
              <w:t>★</w:t>
            </w:r>
            <w:r>
              <w:rPr>
                <w:rFonts w:hint="eastAsia" w:ascii="宋体" w:hAnsi="宋体" w:eastAsia="宋体" w:cs="Times New Roman"/>
                <w:color w:val="auto"/>
                <w:sz w:val="24"/>
                <w:szCs w:val="24"/>
                <w:highlight w:val="none"/>
              </w:rPr>
              <w:t>”的技术参数，存在负偏离的投标将被否决。</w:t>
            </w:r>
          </w:p>
          <w:p w14:paraId="43D06DD3">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lang w:val="en-US" w:eastAsia="zh-CN"/>
              </w:rPr>
              <w:t>2</w:t>
            </w:r>
            <w:r>
              <w:rPr>
                <w:rFonts w:hint="eastAsia" w:ascii="宋体" w:hAnsi="宋体" w:eastAsia="宋体" w:cs="Times New Roman"/>
                <w:color w:val="auto"/>
                <w:sz w:val="24"/>
                <w:szCs w:val="24"/>
                <w:highlight w:val="none"/>
              </w:rPr>
              <w:t>）标注“▲”的技术参数，每一项负偏离扣2分，</w:t>
            </w:r>
            <w:r>
              <w:rPr>
                <w:rFonts w:hint="eastAsia" w:ascii="宋体" w:hAnsi="宋体" w:eastAsia="宋体" w:cs="Times New Roman"/>
                <w:color w:val="auto"/>
                <w:sz w:val="24"/>
                <w:szCs w:val="24"/>
                <w:highlight w:val="none"/>
                <w:lang w:val="en-US" w:eastAsia="zh-CN"/>
              </w:rPr>
              <w:t>10</w:t>
            </w:r>
            <w:r>
              <w:rPr>
                <w:rFonts w:hint="eastAsia" w:ascii="宋体" w:hAnsi="宋体" w:eastAsia="宋体" w:cs="Times New Roman"/>
                <w:color w:val="auto"/>
                <w:sz w:val="24"/>
                <w:szCs w:val="24"/>
                <w:highlight w:val="none"/>
              </w:rPr>
              <w:t>项（不含）以上存在负偏离的投标将被否决，本小项满分</w:t>
            </w:r>
            <w:r>
              <w:rPr>
                <w:rFonts w:hint="eastAsia" w:ascii="宋体" w:hAnsi="宋体" w:eastAsia="宋体" w:cs="Times New Roman"/>
                <w:color w:val="auto"/>
                <w:sz w:val="24"/>
                <w:szCs w:val="24"/>
                <w:highlight w:val="none"/>
                <w:lang w:val="en-US" w:eastAsia="zh-CN"/>
              </w:rPr>
              <w:t>20</w:t>
            </w:r>
            <w:r>
              <w:rPr>
                <w:rFonts w:hint="eastAsia" w:ascii="宋体" w:hAnsi="宋体" w:eastAsia="宋体" w:cs="Times New Roman"/>
                <w:color w:val="auto"/>
                <w:sz w:val="24"/>
                <w:szCs w:val="24"/>
                <w:highlight w:val="none"/>
              </w:rPr>
              <w:t>分。</w:t>
            </w:r>
          </w:p>
          <w:p w14:paraId="1C92E41F">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（2）未标注“▲”的技术参数要求，每一项负偏离扣1分，</w:t>
            </w:r>
            <w:r>
              <w:rPr>
                <w:rFonts w:hint="eastAsia" w:ascii="宋体" w:hAnsi="宋体" w:eastAsia="宋体" w:cs="Times New Roman"/>
                <w:color w:val="auto"/>
                <w:sz w:val="24"/>
                <w:szCs w:val="24"/>
                <w:highlight w:val="none"/>
                <w:lang w:val="en-US" w:eastAsia="zh-CN"/>
              </w:rPr>
              <w:t>21</w:t>
            </w:r>
            <w:r>
              <w:rPr>
                <w:rFonts w:hint="eastAsia" w:ascii="宋体" w:hAnsi="宋体" w:eastAsia="宋体" w:cs="Times New Roman"/>
                <w:color w:val="auto"/>
                <w:sz w:val="24"/>
                <w:szCs w:val="24"/>
                <w:highlight w:val="none"/>
              </w:rPr>
              <w:t>项（不含）以上存在负偏离的投标将被否决，本小项满分</w:t>
            </w:r>
            <w:r>
              <w:rPr>
                <w:rFonts w:hint="eastAsia" w:ascii="宋体" w:hAnsi="宋体" w:eastAsia="宋体" w:cs="Times New Roman"/>
                <w:color w:val="auto"/>
                <w:sz w:val="24"/>
                <w:szCs w:val="24"/>
                <w:highlight w:val="none"/>
                <w:lang w:val="en-US" w:eastAsia="zh-CN"/>
              </w:rPr>
              <w:t>21</w:t>
            </w:r>
            <w:r>
              <w:rPr>
                <w:rFonts w:hint="eastAsia" w:ascii="宋体" w:hAnsi="宋体" w:eastAsia="宋体" w:cs="Times New Roman"/>
                <w:color w:val="auto"/>
                <w:sz w:val="24"/>
                <w:szCs w:val="24"/>
                <w:highlight w:val="none"/>
              </w:rPr>
              <w:t>分。</w:t>
            </w:r>
          </w:p>
          <w:p w14:paraId="079C4D50">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注：以投标响应表中的技术响应表和采购需求中要求提供的证明材料作为评审依据。</w:t>
            </w:r>
          </w:p>
        </w:tc>
        <w:tc>
          <w:tcPr>
            <w:tcW w:w="927" w:type="pct"/>
            <w:tcBorders>
              <w:top w:val="single" w:color="auto" w:sz="4" w:space="0"/>
              <w:left w:val="nil"/>
              <w:bottom w:val="single" w:color="auto" w:sz="4" w:space="0"/>
              <w:right w:val="single" w:color="auto" w:sz="4" w:space="0"/>
            </w:tcBorders>
            <w:vAlign w:val="center"/>
          </w:tcPr>
          <w:p w14:paraId="0A70DF5A">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color w:val="auto"/>
                <w:sz w:val="24"/>
                <w:szCs w:val="24"/>
                <w:highlight w:val="none"/>
              </w:rPr>
              <w:t>0-</w:t>
            </w:r>
            <w:r>
              <w:rPr>
                <w:rFonts w:hint="eastAsia" w:ascii="宋体" w:hAnsi="宋体" w:eastAsia="宋体" w:cs="Times New Roman"/>
                <w:color w:val="auto"/>
                <w:sz w:val="24"/>
                <w:szCs w:val="24"/>
                <w:highlight w:val="none"/>
                <w:lang w:val="en-US" w:eastAsia="zh-CN"/>
              </w:rPr>
              <w:t>41</w:t>
            </w:r>
            <w:r>
              <w:rPr>
                <w:rFonts w:hint="eastAsia" w:ascii="宋体" w:hAnsi="宋体" w:eastAsia="宋体" w:cs="Times New Roman"/>
                <w:color w:val="auto"/>
                <w:sz w:val="24"/>
                <w:szCs w:val="24"/>
                <w:highlight w:val="none"/>
              </w:rPr>
              <w:t>分</w:t>
            </w:r>
          </w:p>
        </w:tc>
      </w:tr>
      <w:tr w14:paraId="52FEE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nil"/>
              <w:left w:val="single" w:color="auto" w:sz="4" w:space="0"/>
              <w:bottom w:val="single" w:color="auto" w:sz="4" w:space="0"/>
              <w:right w:val="single" w:color="auto" w:sz="4" w:space="0"/>
            </w:tcBorders>
            <w:vAlign w:val="center"/>
          </w:tcPr>
          <w:p w14:paraId="1185D465">
            <w:pPr>
              <w:widowControl/>
              <w:jc w:val="left"/>
              <w:rPr>
                <w:rFonts w:hint="eastAsia" w:ascii="宋体" w:hAnsi="宋体" w:eastAsia="宋体" w:cs="Times New Roman"/>
                <w:b/>
                <w:bCs/>
                <w:color w:val="auto"/>
                <w:sz w:val="24"/>
                <w:szCs w:val="24"/>
                <w:highlight w:val="none"/>
              </w:rPr>
            </w:pPr>
          </w:p>
        </w:tc>
        <w:tc>
          <w:tcPr>
            <w:tcW w:w="1009" w:type="pct"/>
            <w:tcBorders>
              <w:top w:val="single" w:color="auto" w:sz="4" w:space="0"/>
              <w:left w:val="nil"/>
              <w:bottom w:val="single" w:color="auto" w:sz="4" w:space="0"/>
              <w:right w:val="single" w:color="auto" w:sz="4" w:space="0"/>
            </w:tcBorders>
            <w:vAlign w:val="center"/>
          </w:tcPr>
          <w:p w14:paraId="6DC2194F">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项目重难点的应对措施</w:t>
            </w:r>
          </w:p>
        </w:tc>
        <w:tc>
          <w:tcPr>
            <w:tcW w:w="2197" w:type="pct"/>
            <w:tcBorders>
              <w:top w:val="single" w:color="auto" w:sz="4" w:space="0"/>
              <w:left w:val="nil"/>
              <w:bottom w:val="single" w:color="auto" w:sz="4" w:space="0"/>
              <w:right w:val="single" w:color="auto" w:sz="4" w:space="0"/>
            </w:tcBorders>
            <w:vAlign w:val="center"/>
          </w:tcPr>
          <w:p w14:paraId="6B32E45A">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评标委员会根据招标文件要求及投标人提供的项目重难点应对措施，进行综合评分：</w:t>
            </w:r>
          </w:p>
          <w:p w14:paraId="05BDE40E">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（1）措施完整详细，可行性、实用性、针对性较强，优于本项目采购需求的，得5分。</w:t>
            </w:r>
          </w:p>
          <w:p w14:paraId="1CC60B39">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（2）措施基本完整，具有可行性、实用性、针对性，适合本项目采购需求的，得3分。</w:t>
            </w:r>
          </w:p>
          <w:p w14:paraId="06D1925A">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（3）措施有待提升，可行性、实用性、针对性有待完善，基本适合本项目采购需求的，得1分。</w:t>
            </w:r>
          </w:p>
          <w:p w14:paraId="6447A09E">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（4）方案不可行或未提供的，得0分。</w:t>
            </w:r>
          </w:p>
        </w:tc>
        <w:tc>
          <w:tcPr>
            <w:tcW w:w="927" w:type="pct"/>
            <w:tcBorders>
              <w:top w:val="single" w:color="auto" w:sz="4" w:space="0"/>
              <w:left w:val="nil"/>
              <w:bottom w:val="single" w:color="auto" w:sz="4" w:space="0"/>
              <w:right w:val="single" w:color="auto" w:sz="4" w:space="0"/>
            </w:tcBorders>
            <w:vAlign w:val="center"/>
          </w:tcPr>
          <w:p w14:paraId="1574512F">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color w:val="auto"/>
                <w:sz w:val="24"/>
                <w:szCs w:val="24"/>
                <w:highlight w:val="none"/>
              </w:rPr>
              <w:t>0-5分</w:t>
            </w:r>
          </w:p>
        </w:tc>
      </w:tr>
      <w:tr w14:paraId="63434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nil"/>
              <w:left w:val="single" w:color="auto" w:sz="4" w:space="0"/>
              <w:bottom w:val="single" w:color="auto" w:sz="4" w:space="0"/>
              <w:right w:val="single" w:color="auto" w:sz="4" w:space="0"/>
            </w:tcBorders>
            <w:vAlign w:val="center"/>
          </w:tcPr>
          <w:p w14:paraId="4A6DF0E1">
            <w:pPr>
              <w:widowControl/>
              <w:jc w:val="left"/>
              <w:rPr>
                <w:rFonts w:hint="eastAsia" w:ascii="宋体" w:hAnsi="宋体" w:eastAsia="宋体" w:cs="Times New Roman"/>
                <w:b/>
                <w:bCs/>
                <w:color w:val="auto"/>
                <w:sz w:val="24"/>
                <w:szCs w:val="24"/>
                <w:highlight w:val="none"/>
              </w:rPr>
            </w:pPr>
          </w:p>
        </w:tc>
        <w:tc>
          <w:tcPr>
            <w:tcW w:w="1009" w:type="pct"/>
            <w:tcBorders>
              <w:top w:val="single" w:color="auto" w:sz="4" w:space="0"/>
              <w:left w:val="nil"/>
              <w:bottom w:val="single" w:color="auto" w:sz="4" w:space="0"/>
              <w:right w:val="single" w:color="auto" w:sz="4" w:space="0"/>
            </w:tcBorders>
            <w:vAlign w:val="center"/>
          </w:tcPr>
          <w:p w14:paraId="7911668D">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供货方案</w:t>
            </w:r>
          </w:p>
        </w:tc>
        <w:tc>
          <w:tcPr>
            <w:tcW w:w="2197" w:type="pct"/>
            <w:tcBorders>
              <w:top w:val="single" w:color="auto" w:sz="4" w:space="0"/>
              <w:left w:val="nil"/>
              <w:bottom w:val="single" w:color="auto" w:sz="4" w:space="0"/>
              <w:right w:val="single" w:color="auto" w:sz="4" w:space="0"/>
            </w:tcBorders>
            <w:vAlign w:val="center"/>
          </w:tcPr>
          <w:p w14:paraId="0757D222">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评标委员会根据招标文件要求及投标人提供的供货方案</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lang w:val="en-US" w:eastAsia="zh-CN"/>
              </w:rPr>
              <w:t>包含但不限于供货计划、进度安排、交货期保障、物流运输及产品保护措施等</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，进行综合评分：</w:t>
            </w:r>
          </w:p>
          <w:p w14:paraId="58678663">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（1）方案全面，组织架构科学，人员配置合理，响应时间快，可行性、实用性、针对性较强，优于本项目采购需求的，得5分。</w:t>
            </w:r>
          </w:p>
          <w:p w14:paraId="7213FCF5">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（2）方案较全面，组织架构较合理，人员配置较合理，响应时间较快，具有可行性、实用性、针对性，适合本项目采购需求的，得3分。</w:t>
            </w:r>
          </w:p>
          <w:p w14:paraId="749AAFEE">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（3）方案有待提升，可行性、实用性、针对性有待完善，基本适合本项目采购需求的，得1分。</w:t>
            </w:r>
          </w:p>
          <w:p w14:paraId="6BAC7960">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（4）方案不可行或未提供的，得0分。</w:t>
            </w:r>
          </w:p>
        </w:tc>
        <w:tc>
          <w:tcPr>
            <w:tcW w:w="927" w:type="pct"/>
            <w:tcBorders>
              <w:top w:val="single" w:color="auto" w:sz="4" w:space="0"/>
              <w:left w:val="nil"/>
              <w:bottom w:val="single" w:color="auto" w:sz="4" w:space="0"/>
              <w:right w:val="single" w:color="auto" w:sz="4" w:space="0"/>
            </w:tcBorders>
            <w:vAlign w:val="center"/>
          </w:tcPr>
          <w:p w14:paraId="71FECA74">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0-5分</w:t>
            </w:r>
          </w:p>
        </w:tc>
      </w:tr>
      <w:tr w14:paraId="0B4F8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nil"/>
              <w:left w:val="single" w:color="auto" w:sz="4" w:space="0"/>
              <w:bottom w:val="single" w:color="auto" w:sz="4" w:space="0"/>
              <w:right w:val="single" w:color="auto" w:sz="4" w:space="0"/>
            </w:tcBorders>
            <w:vAlign w:val="center"/>
          </w:tcPr>
          <w:p w14:paraId="5DB890DA">
            <w:pPr>
              <w:widowControl/>
              <w:jc w:val="left"/>
              <w:rPr>
                <w:rFonts w:hint="eastAsia" w:ascii="宋体" w:hAnsi="宋体" w:eastAsia="宋体" w:cs="Times New Roman"/>
                <w:b/>
                <w:bCs/>
                <w:color w:val="auto"/>
                <w:sz w:val="24"/>
                <w:szCs w:val="24"/>
                <w:highlight w:val="none"/>
              </w:rPr>
            </w:pPr>
          </w:p>
        </w:tc>
        <w:tc>
          <w:tcPr>
            <w:tcW w:w="1009" w:type="pct"/>
            <w:tcBorders>
              <w:top w:val="single" w:color="auto" w:sz="4" w:space="0"/>
              <w:left w:val="nil"/>
              <w:bottom w:val="single" w:color="auto" w:sz="4" w:space="0"/>
              <w:right w:val="single" w:color="auto" w:sz="4" w:space="0"/>
            </w:tcBorders>
            <w:vAlign w:val="center"/>
          </w:tcPr>
          <w:p w14:paraId="4F4BB8E4">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安装调试方案</w:t>
            </w:r>
          </w:p>
        </w:tc>
        <w:tc>
          <w:tcPr>
            <w:tcW w:w="2197" w:type="pct"/>
            <w:tcBorders>
              <w:top w:val="single" w:color="auto" w:sz="4" w:space="0"/>
              <w:left w:val="nil"/>
              <w:bottom w:val="single" w:color="auto" w:sz="4" w:space="0"/>
              <w:right w:val="single" w:color="auto" w:sz="4" w:space="0"/>
            </w:tcBorders>
            <w:vAlign w:val="center"/>
          </w:tcPr>
          <w:p w14:paraId="7F992FC9">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评标委员会根据投标人提供的安装调试方案</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lang w:val="en-US" w:eastAsia="zh-CN"/>
              </w:rPr>
              <w:t>包含但不限于安装人员配备、安装步骤及注意事项、调试流程、应急预案、设备运行测试及验收交付等</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进行综合评分：</w:t>
            </w:r>
          </w:p>
          <w:p w14:paraId="41BFD92B">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（1）安装调试过程中提供充足的备品备件、辅材，能够在规定时间内完成安装调试任务，优于本项目采购需求的，得5分；</w:t>
            </w:r>
          </w:p>
          <w:p w14:paraId="5C861EEE">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（2）供货安装过程中提供的备品备件、辅材预留情况基本满足项目需求，能够在规定时间内完成安装调试任务，适合本项目采购需求的，得3分；</w:t>
            </w:r>
          </w:p>
          <w:p w14:paraId="25850C26">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（3）供货安装过程中提供的备品备件、辅材预留情况有待完善，能够在规定时间内完成安装调试任务的，得1分；</w:t>
            </w:r>
          </w:p>
          <w:p w14:paraId="5C1017B8">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（4）方案不可行或者未提供，得0分。</w:t>
            </w:r>
          </w:p>
        </w:tc>
        <w:tc>
          <w:tcPr>
            <w:tcW w:w="927" w:type="pct"/>
            <w:tcBorders>
              <w:top w:val="single" w:color="auto" w:sz="4" w:space="0"/>
              <w:left w:val="nil"/>
              <w:bottom w:val="single" w:color="auto" w:sz="4" w:space="0"/>
              <w:right w:val="single" w:color="auto" w:sz="4" w:space="0"/>
            </w:tcBorders>
            <w:vAlign w:val="center"/>
          </w:tcPr>
          <w:p w14:paraId="6ABC2202">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0-5分</w:t>
            </w:r>
          </w:p>
        </w:tc>
      </w:tr>
      <w:tr w14:paraId="7E368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0" w:type="auto"/>
            <w:vMerge w:val="continue"/>
            <w:tcBorders>
              <w:top w:val="nil"/>
              <w:left w:val="single" w:color="auto" w:sz="4" w:space="0"/>
              <w:bottom w:val="single" w:color="auto" w:sz="4" w:space="0"/>
              <w:right w:val="single" w:color="auto" w:sz="4" w:space="0"/>
            </w:tcBorders>
            <w:vAlign w:val="center"/>
          </w:tcPr>
          <w:p w14:paraId="693C9D40">
            <w:pPr>
              <w:widowControl/>
              <w:jc w:val="left"/>
              <w:rPr>
                <w:rFonts w:hint="eastAsia" w:ascii="宋体" w:hAnsi="宋体" w:eastAsia="宋体" w:cs="Times New Roman"/>
                <w:b/>
                <w:bCs/>
                <w:color w:val="auto"/>
                <w:sz w:val="24"/>
                <w:szCs w:val="24"/>
                <w:highlight w:val="none"/>
              </w:rPr>
            </w:pPr>
          </w:p>
        </w:tc>
        <w:tc>
          <w:tcPr>
            <w:tcW w:w="1009" w:type="pct"/>
            <w:tcBorders>
              <w:top w:val="single" w:color="auto" w:sz="4" w:space="0"/>
              <w:left w:val="nil"/>
              <w:bottom w:val="single" w:color="auto" w:sz="4" w:space="0"/>
              <w:right w:val="single" w:color="auto" w:sz="4" w:space="0"/>
            </w:tcBorders>
            <w:vAlign w:val="center"/>
          </w:tcPr>
          <w:p w14:paraId="503659E2">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售后服务方案</w:t>
            </w:r>
          </w:p>
        </w:tc>
        <w:tc>
          <w:tcPr>
            <w:tcW w:w="2197" w:type="pct"/>
            <w:tcBorders>
              <w:top w:val="single" w:color="auto" w:sz="4" w:space="0"/>
              <w:left w:val="nil"/>
              <w:bottom w:val="single" w:color="auto" w:sz="4" w:space="0"/>
              <w:right w:val="single" w:color="auto" w:sz="4" w:space="0"/>
            </w:tcBorders>
            <w:vAlign w:val="center"/>
          </w:tcPr>
          <w:p w14:paraId="49AA6E4B">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评标委员会根据招标文件要求及投标人提供的售后服务方案</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lang w:val="en-US" w:eastAsia="zh-CN"/>
              </w:rPr>
              <w:t>包含但不限于响应时间、维修网点、备品备件储备、紧急故障处理、定期巡检及服务承诺等</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，进行综合评分：</w:t>
            </w:r>
          </w:p>
          <w:p w14:paraId="01ACEF10">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（1）具有完善的售后服务计划、措施，技术支持快速及时，培训方案完整详细，可行性、实用性、针对性较强，优于本项目采购需求的，得5分；</w:t>
            </w:r>
          </w:p>
          <w:p w14:paraId="7106E458">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（2）售后服务计划、措施基本完善，培训内容基本详实，技术支持及时，培训方案基本完整，具有可行性、实用性、针对性，能够保障本项目采购需求的，得3分；</w:t>
            </w:r>
          </w:p>
          <w:p w14:paraId="4EDEEBF3">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（3）售后服务方案、培训方案有待提升，可行性、实用性、针对性有待完善，基本保障本项目采购需求的，得1分；</w:t>
            </w:r>
          </w:p>
          <w:p w14:paraId="0D2363FF">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（4）方案不可行或未提供的得0分。</w:t>
            </w:r>
          </w:p>
        </w:tc>
        <w:tc>
          <w:tcPr>
            <w:tcW w:w="927" w:type="pct"/>
            <w:tcBorders>
              <w:top w:val="single" w:color="auto" w:sz="4" w:space="0"/>
              <w:left w:val="nil"/>
              <w:bottom w:val="single" w:color="auto" w:sz="4" w:space="0"/>
              <w:right w:val="single" w:color="auto" w:sz="4" w:space="0"/>
            </w:tcBorders>
            <w:vAlign w:val="center"/>
          </w:tcPr>
          <w:p w14:paraId="42648BAB">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0-5分</w:t>
            </w:r>
          </w:p>
        </w:tc>
      </w:tr>
      <w:tr w14:paraId="18B7B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nil"/>
              <w:left w:val="single" w:color="auto" w:sz="4" w:space="0"/>
              <w:bottom w:val="single" w:color="auto" w:sz="4" w:space="0"/>
              <w:right w:val="single" w:color="auto" w:sz="4" w:space="0"/>
            </w:tcBorders>
            <w:vAlign w:val="center"/>
          </w:tcPr>
          <w:p w14:paraId="5C218768">
            <w:pPr>
              <w:widowControl/>
              <w:jc w:val="left"/>
              <w:rPr>
                <w:rFonts w:hint="eastAsia" w:ascii="宋体" w:hAnsi="宋体" w:eastAsia="宋体" w:cs="Times New Roman"/>
                <w:b/>
                <w:bCs/>
                <w:color w:val="auto"/>
                <w:sz w:val="24"/>
                <w:szCs w:val="24"/>
                <w:highlight w:val="none"/>
              </w:rPr>
            </w:pPr>
          </w:p>
        </w:tc>
        <w:tc>
          <w:tcPr>
            <w:tcW w:w="1009" w:type="pct"/>
            <w:tcBorders>
              <w:top w:val="single" w:color="auto" w:sz="4" w:space="0"/>
              <w:left w:val="nil"/>
              <w:bottom w:val="single" w:color="auto" w:sz="4" w:space="0"/>
              <w:right w:val="single" w:color="auto" w:sz="4" w:space="0"/>
            </w:tcBorders>
            <w:vAlign w:val="center"/>
          </w:tcPr>
          <w:p w14:paraId="4D15B7C5">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优惠承诺及增值服务</w:t>
            </w:r>
          </w:p>
        </w:tc>
        <w:tc>
          <w:tcPr>
            <w:tcW w:w="2197" w:type="pct"/>
            <w:tcBorders>
              <w:top w:val="single" w:color="auto" w:sz="4" w:space="0"/>
              <w:left w:val="nil"/>
              <w:bottom w:val="single" w:color="auto" w:sz="4" w:space="0"/>
              <w:right w:val="single" w:color="auto" w:sz="4" w:space="0"/>
            </w:tcBorders>
            <w:vAlign w:val="center"/>
          </w:tcPr>
          <w:p w14:paraId="2F489316">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评标委员根据投标人提供的优惠承诺及增值服务对于采购人的实际经济效益进行评审：</w:t>
            </w:r>
          </w:p>
          <w:p w14:paraId="685C7FE8">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（1）有具体优惠条件及增值服务，且优惠条件及增值服务实用性强，实际价值高的，得5分；</w:t>
            </w:r>
          </w:p>
          <w:p w14:paraId="02135CE9">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（2）有具体的优惠条件及增值服务，且优惠条件及增值服务具有实用性的，得3分；</w:t>
            </w:r>
          </w:p>
          <w:p w14:paraId="18546143">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（3）有优惠条件及增值服务，实用性有待提升的，得1分；</w:t>
            </w:r>
          </w:p>
          <w:p w14:paraId="75EAAA6E">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（4）未提供的，得0分。</w:t>
            </w:r>
          </w:p>
        </w:tc>
        <w:tc>
          <w:tcPr>
            <w:tcW w:w="927" w:type="pct"/>
            <w:tcBorders>
              <w:top w:val="single" w:color="auto" w:sz="4" w:space="0"/>
              <w:left w:val="nil"/>
              <w:bottom w:val="single" w:color="auto" w:sz="4" w:space="0"/>
              <w:right w:val="single" w:color="auto" w:sz="4" w:space="0"/>
            </w:tcBorders>
            <w:vAlign w:val="center"/>
          </w:tcPr>
          <w:p w14:paraId="599B6005">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color w:val="auto"/>
                <w:sz w:val="24"/>
                <w:szCs w:val="24"/>
                <w:highlight w:val="none"/>
              </w:rPr>
              <w:t>0-5分</w:t>
            </w:r>
          </w:p>
        </w:tc>
      </w:tr>
      <w:tr w14:paraId="0BA99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5" w:type="pct"/>
            <w:tcBorders>
              <w:top w:val="single" w:color="auto" w:sz="4" w:space="0"/>
              <w:left w:val="single" w:color="auto" w:sz="4" w:space="0"/>
              <w:bottom w:val="single" w:color="auto" w:sz="4" w:space="0"/>
              <w:right w:val="single" w:color="auto" w:sz="4" w:space="0"/>
            </w:tcBorders>
            <w:vAlign w:val="center"/>
          </w:tcPr>
          <w:p w14:paraId="7ACE9937">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价格分</w:t>
            </w:r>
          </w:p>
          <w:p w14:paraId="1654772D">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u w:val="single"/>
              </w:rPr>
              <w:t>30</w:t>
            </w:r>
            <w:r>
              <w:rPr>
                <w:rFonts w:hint="eastAsia" w:ascii="宋体" w:hAnsi="宋体" w:eastAsia="宋体" w:cs="Times New Roman"/>
                <w:color w:val="auto"/>
                <w:sz w:val="24"/>
                <w:szCs w:val="24"/>
                <w:highlight w:val="none"/>
              </w:rPr>
              <w:t>分）</w:t>
            </w:r>
          </w:p>
        </w:tc>
        <w:tc>
          <w:tcPr>
            <w:tcW w:w="4134" w:type="pct"/>
            <w:gridSpan w:val="3"/>
            <w:tcBorders>
              <w:top w:val="single" w:color="auto" w:sz="4" w:space="0"/>
              <w:left w:val="nil"/>
              <w:bottom w:val="single" w:color="auto" w:sz="4" w:space="0"/>
              <w:right w:val="single" w:color="auto" w:sz="4" w:space="0"/>
            </w:tcBorders>
            <w:vAlign w:val="center"/>
          </w:tcPr>
          <w:p w14:paraId="68D6126D">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价格分统一采用低价优先法，即满足招标文件要求且投标价格最低的投标报价为评标基准价，其价格分为满分30分。其他投标人的价格分统一按照下列公式计算：</w:t>
            </w:r>
          </w:p>
          <w:p w14:paraId="169066D5">
            <w:pPr>
              <w:spacing w:line="360" w:lineRule="auto"/>
              <w:rPr>
                <w:rFonts w:hint="eastAsia" w:ascii="宋体" w:hAnsi="宋体" w:eastAsia="宋体" w:cs="Times New Roman"/>
                <w:b/>
                <w:bCs/>
                <w:color w:val="auto"/>
                <w:sz w:val="24"/>
                <w:szCs w:val="24"/>
                <w:highlight w:val="none"/>
              </w:rPr>
            </w:pPr>
            <w:r>
              <w:rPr>
                <w:rFonts w:hint="eastAsia" w:ascii="宋体" w:hAnsi="宋体" w:eastAsia="宋体" w:cs="Times New Roman"/>
                <w:color w:val="auto"/>
                <w:sz w:val="24"/>
                <w:szCs w:val="24"/>
                <w:highlight w:val="none"/>
              </w:rPr>
              <w:t>投标报价得分＝（评标基准价/投标报价）×30％×100</w:t>
            </w:r>
          </w:p>
        </w:tc>
      </w:tr>
    </w:tbl>
    <w:p w14:paraId="16110390">
      <w:pPr>
        <w:pStyle w:val="2"/>
        <w:keepNext w:val="0"/>
        <w:keepLines w:val="0"/>
        <w:pageBreakBefore w:val="0"/>
        <w:widowControl w:val="0"/>
        <w:kinsoku/>
        <w:wordWrap/>
        <w:overflowPunct/>
        <w:topLinePunct w:val="0"/>
        <w:autoSpaceDE/>
        <w:autoSpaceDN/>
        <w:bidi w:val="0"/>
        <w:adjustRightInd/>
        <w:snapToGrid/>
        <w:ind w:left="0" w:leftChars="0" w:firstLine="0" w:firstLineChars="0"/>
        <w:textAlignment w:val="auto"/>
        <w:outlineLvl w:val="3"/>
        <w:rPr>
          <w:rFonts w:hint="default" w:cs="@仿宋_GB2312" w:asciiTheme="minorEastAsia" w:hAnsiTheme="minorEastAsia" w:eastAsiaTheme="minorEastAsia"/>
          <w:b w:val="0"/>
          <w:color w:val="auto"/>
          <w:kern w:val="2"/>
          <w:sz w:val="24"/>
          <w:szCs w:val="20"/>
          <w:highlight w:val="none"/>
          <w:lang w:val="en-US" w:eastAsia="zh-CN" w:bidi="ar-SA"/>
        </w:rPr>
      </w:pPr>
      <w:r>
        <w:rPr>
          <w:rFonts w:hint="eastAsia" w:cs="@仿宋_GB2312" w:asciiTheme="minorEastAsia" w:hAnsiTheme="minorEastAsia" w:eastAsiaTheme="minorEastAsia"/>
          <w:b w:val="0"/>
          <w:color w:val="auto"/>
          <w:kern w:val="2"/>
          <w:sz w:val="24"/>
          <w:szCs w:val="20"/>
          <w:highlight w:val="none"/>
          <w:lang w:val="en-US" w:eastAsia="zh-CN" w:bidi="ar-SA"/>
        </w:rPr>
        <w:t>09包：</w:t>
      </w:r>
    </w:p>
    <w:tbl>
      <w:tblPr>
        <w:tblStyle w:val="2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75"/>
        <w:gridCol w:w="1720"/>
        <w:gridCol w:w="3745"/>
        <w:gridCol w:w="1582"/>
      </w:tblGrid>
      <w:tr w14:paraId="00151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865" w:type="pct"/>
            <w:tcBorders>
              <w:top w:val="single" w:color="auto" w:sz="4" w:space="0"/>
              <w:left w:val="single" w:color="auto" w:sz="4" w:space="0"/>
              <w:bottom w:val="single" w:color="auto" w:sz="4" w:space="0"/>
              <w:right w:val="single" w:color="auto" w:sz="4" w:space="0"/>
            </w:tcBorders>
            <w:vAlign w:val="center"/>
          </w:tcPr>
          <w:p w14:paraId="629997ED">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b/>
                <w:bCs/>
                <w:color w:val="auto"/>
                <w:sz w:val="24"/>
                <w:szCs w:val="24"/>
                <w:highlight w:val="none"/>
              </w:rPr>
              <w:t>类别</w:t>
            </w:r>
          </w:p>
        </w:tc>
        <w:tc>
          <w:tcPr>
            <w:tcW w:w="1009" w:type="pct"/>
            <w:tcBorders>
              <w:top w:val="single" w:color="auto" w:sz="4" w:space="0"/>
              <w:left w:val="nil"/>
              <w:bottom w:val="single" w:color="auto" w:sz="4" w:space="0"/>
              <w:right w:val="single" w:color="auto" w:sz="4" w:space="0"/>
            </w:tcBorders>
            <w:vAlign w:val="center"/>
          </w:tcPr>
          <w:p w14:paraId="30C4768D">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b/>
                <w:bCs/>
                <w:color w:val="auto"/>
                <w:sz w:val="24"/>
                <w:szCs w:val="24"/>
                <w:highlight w:val="none"/>
              </w:rPr>
              <w:t>评分内容</w:t>
            </w:r>
          </w:p>
        </w:tc>
        <w:tc>
          <w:tcPr>
            <w:tcW w:w="2197" w:type="pct"/>
            <w:tcBorders>
              <w:top w:val="single" w:color="auto" w:sz="4" w:space="0"/>
              <w:left w:val="nil"/>
              <w:bottom w:val="single" w:color="auto" w:sz="4" w:space="0"/>
              <w:right w:val="single" w:color="auto" w:sz="4" w:space="0"/>
            </w:tcBorders>
            <w:vAlign w:val="center"/>
          </w:tcPr>
          <w:p w14:paraId="2D606CA5">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b/>
                <w:bCs/>
                <w:color w:val="auto"/>
                <w:sz w:val="24"/>
                <w:szCs w:val="24"/>
                <w:highlight w:val="none"/>
              </w:rPr>
              <w:t>评分标准</w:t>
            </w:r>
          </w:p>
        </w:tc>
        <w:tc>
          <w:tcPr>
            <w:tcW w:w="927" w:type="pct"/>
            <w:tcBorders>
              <w:top w:val="single" w:color="auto" w:sz="4" w:space="0"/>
              <w:left w:val="nil"/>
              <w:bottom w:val="single" w:color="auto" w:sz="4" w:space="0"/>
              <w:right w:val="single" w:color="auto" w:sz="4" w:space="0"/>
            </w:tcBorders>
            <w:vAlign w:val="center"/>
          </w:tcPr>
          <w:p w14:paraId="0CD2F436">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b/>
                <w:bCs/>
                <w:color w:val="auto"/>
                <w:sz w:val="24"/>
                <w:szCs w:val="24"/>
                <w:highlight w:val="none"/>
              </w:rPr>
              <w:t>分值范围</w:t>
            </w:r>
          </w:p>
        </w:tc>
      </w:tr>
      <w:tr w14:paraId="3B409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5" w:type="pct"/>
            <w:vMerge w:val="restart"/>
            <w:tcBorders>
              <w:top w:val="nil"/>
              <w:left w:val="single" w:color="auto" w:sz="4" w:space="0"/>
              <w:bottom w:val="single" w:color="auto" w:sz="4" w:space="0"/>
              <w:right w:val="single" w:color="auto" w:sz="4" w:space="0"/>
            </w:tcBorders>
            <w:vAlign w:val="center"/>
          </w:tcPr>
          <w:p w14:paraId="2F12F5F8">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技术资信分</w:t>
            </w:r>
          </w:p>
          <w:p w14:paraId="0272750C">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u w:val="single"/>
              </w:rPr>
              <w:t>70</w:t>
            </w:r>
            <w:r>
              <w:rPr>
                <w:rFonts w:hint="eastAsia" w:ascii="宋体" w:hAnsi="宋体" w:eastAsia="宋体" w:cs="Times New Roman"/>
                <w:color w:val="auto"/>
                <w:sz w:val="24"/>
                <w:szCs w:val="24"/>
                <w:highlight w:val="none"/>
              </w:rPr>
              <w:t>分）</w:t>
            </w:r>
          </w:p>
        </w:tc>
        <w:tc>
          <w:tcPr>
            <w:tcW w:w="1009" w:type="pct"/>
            <w:tcBorders>
              <w:top w:val="single" w:color="auto" w:sz="4" w:space="0"/>
              <w:left w:val="nil"/>
              <w:bottom w:val="single" w:color="auto" w:sz="4" w:space="0"/>
              <w:right w:val="single" w:color="auto" w:sz="4" w:space="0"/>
            </w:tcBorders>
            <w:vAlign w:val="center"/>
          </w:tcPr>
          <w:p w14:paraId="3791A2B8">
            <w:pPr>
              <w:spacing w:line="360" w:lineRule="auto"/>
              <w:jc w:val="center"/>
              <w:rPr>
                <w:rFonts w:hint="eastAsia"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产品业绩</w:t>
            </w:r>
          </w:p>
        </w:tc>
        <w:tc>
          <w:tcPr>
            <w:tcW w:w="2197" w:type="pct"/>
            <w:tcBorders>
              <w:top w:val="single" w:color="auto" w:sz="4" w:space="0"/>
              <w:left w:val="nil"/>
              <w:bottom w:val="single" w:color="auto" w:sz="4" w:space="0"/>
              <w:right w:val="single" w:color="auto" w:sz="4" w:space="0"/>
            </w:tcBorders>
            <w:vAlign w:val="center"/>
          </w:tcPr>
          <w:p w14:paraId="5951B408">
            <w:pPr>
              <w:spacing w:line="360" w:lineRule="auto"/>
              <w:rPr>
                <w:rFonts w:hint="eastAsia"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每提供1个自2023年1月1日起（以合同签订时间为准）</w:t>
            </w:r>
            <w:r>
              <w:rPr>
                <w:rFonts w:hint="eastAsia" w:ascii="宋体" w:hAnsi="宋体" w:eastAsia="宋体" w:cs="Times New Roman"/>
                <w:bCs/>
                <w:color w:val="auto"/>
                <w:sz w:val="24"/>
                <w:szCs w:val="24"/>
                <w:highlight w:val="none"/>
              </w:rPr>
              <w:t>核心产品</w:t>
            </w:r>
            <w:r>
              <w:rPr>
                <w:rFonts w:hint="eastAsia" w:ascii="宋体" w:hAnsi="宋体" w:eastAsia="宋体" w:cs="Times New Roman"/>
                <w:bCs/>
                <w:color w:val="auto"/>
                <w:sz w:val="24"/>
                <w:szCs w:val="24"/>
                <w:highlight w:val="none"/>
              </w:rPr>
              <w:t>为医疗机构供货的业绩，得2分，满分</w:t>
            </w:r>
            <w:r>
              <w:rPr>
                <w:rFonts w:hint="eastAsia" w:ascii="宋体" w:hAnsi="宋体" w:eastAsia="宋体" w:cs="Times New Roman"/>
                <w:bCs/>
                <w:color w:val="auto"/>
                <w:sz w:val="24"/>
                <w:szCs w:val="24"/>
                <w:highlight w:val="none"/>
                <w:lang w:val="en-US" w:eastAsia="zh-CN"/>
              </w:rPr>
              <w:t>4</w:t>
            </w:r>
            <w:r>
              <w:rPr>
                <w:rFonts w:hint="eastAsia" w:ascii="宋体" w:hAnsi="宋体" w:eastAsia="宋体" w:cs="Times New Roman"/>
                <w:bCs/>
                <w:color w:val="auto"/>
                <w:sz w:val="24"/>
                <w:szCs w:val="24"/>
                <w:highlight w:val="none"/>
              </w:rPr>
              <w:t>分。</w:t>
            </w:r>
          </w:p>
          <w:p w14:paraId="6BB55407">
            <w:pPr>
              <w:spacing w:line="360" w:lineRule="auto"/>
              <w:rPr>
                <w:rFonts w:hint="eastAsia"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注：（1）提供合同扫描件（体现合同签订时间、核心产品、合同甲方等评审因素；业绩合同乙方主体不限，合同甲方主体须为医疗机构）；（2）如上述业绩证明材料不能体现相应评审因素，需同时提供业绩合同甲方（或合同业主）盖章证明材料，否则不得分。</w:t>
            </w:r>
          </w:p>
        </w:tc>
        <w:tc>
          <w:tcPr>
            <w:tcW w:w="927" w:type="pct"/>
            <w:tcBorders>
              <w:top w:val="single" w:color="auto" w:sz="4" w:space="0"/>
              <w:left w:val="nil"/>
              <w:bottom w:val="single" w:color="auto" w:sz="4" w:space="0"/>
              <w:right w:val="single" w:color="auto" w:sz="4" w:space="0"/>
            </w:tcBorders>
            <w:vAlign w:val="center"/>
          </w:tcPr>
          <w:p w14:paraId="0AD874ED">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0-</w:t>
            </w:r>
            <w:r>
              <w:rPr>
                <w:rFonts w:hint="eastAsia" w:ascii="宋体" w:hAnsi="宋体" w:eastAsia="宋体" w:cs="Times New Roman"/>
                <w:color w:val="auto"/>
                <w:sz w:val="24"/>
                <w:szCs w:val="24"/>
                <w:highlight w:val="none"/>
                <w:lang w:val="en-US" w:eastAsia="zh-CN"/>
              </w:rPr>
              <w:t>4</w:t>
            </w:r>
            <w:r>
              <w:rPr>
                <w:rFonts w:hint="eastAsia" w:ascii="宋体" w:hAnsi="宋体" w:eastAsia="宋体" w:cs="Times New Roman"/>
                <w:color w:val="auto"/>
                <w:sz w:val="24"/>
                <w:szCs w:val="24"/>
                <w:highlight w:val="none"/>
              </w:rPr>
              <w:t>分</w:t>
            </w:r>
          </w:p>
        </w:tc>
      </w:tr>
      <w:tr w14:paraId="0AD6B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nil"/>
              <w:left w:val="single" w:color="auto" w:sz="4" w:space="0"/>
              <w:bottom w:val="single" w:color="auto" w:sz="4" w:space="0"/>
              <w:right w:val="single" w:color="auto" w:sz="4" w:space="0"/>
            </w:tcBorders>
            <w:vAlign w:val="center"/>
          </w:tcPr>
          <w:p w14:paraId="1D3A510A">
            <w:pPr>
              <w:widowControl/>
              <w:jc w:val="left"/>
              <w:rPr>
                <w:rFonts w:hint="eastAsia" w:ascii="宋体" w:hAnsi="宋体" w:eastAsia="宋体" w:cs="Times New Roman"/>
                <w:b/>
                <w:bCs/>
                <w:color w:val="auto"/>
                <w:sz w:val="24"/>
                <w:szCs w:val="24"/>
                <w:highlight w:val="none"/>
              </w:rPr>
            </w:pPr>
          </w:p>
        </w:tc>
        <w:tc>
          <w:tcPr>
            <w:tcW w:w="1009" w:type="pct"/>
            <w:tcBorders>
              <w:top w:val="single" w:color="auto" w:sz="4" w:space="0"/>
              <w:left w:val="nil"/>
              <w:bottom w:val="single" w:color="auto" w:sz="4" w:space="0"/>
              <w:right w:val="single" w:color="auto" w:sz="4" w:space="0"/>
            </w:tcBorders>
            <w:vAlign w:val="center"/>
          </w:tcPr>
          <w:p w14:paraId="4DE58A05">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技术参数及要求响应情况</w:t>
            </w:r>
          </w:p>
        </w:tc>
        <w:tc>
          <w:tcPr>
            <w:tcW w:w="2197" w:type="pct"/>
            <w:tcBorders>
              <w:top w:val="single" w:color="auto" w:sz="4" w:space="0"/>
              <w:left w:val="nil"/>
              <w:bottom w:val="single" w:color="auto" w:sz="4" w:space="0"/>
              <w:right w:val="single" w:color="auto" w:sz="4" w:space="0"/>
            </w:tcBorders>
            <w:vAlign w:val="center"/>
          </w:tcPr>
          <w:p w14:paraId="25063317">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根据投标人对招标文件的《第三章 采购需求》中“二、货物需求一览表”的技术参数及要求响应情况进行评分：</w:t>
            </w:r>
          </w:p>
          <w:p w14:paraId="3006D0E7">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（1）标注“</w:t>
            </w:r>
            <w:r>
              <w:rPr>
                <w:rFonts w:hint="eastAsia" w:ascii="宋体" w:hAnsi="宋体" w:eastAsia="宋体" w:cs="Times New Roman"/>
                <w:color w:val="auto"/>
                <w:sz w:val="24"/>
                <w:szCs w:val="24"/>
                <w:highlight w:val="none"/>
                <w:lang w:val="en-US" w:eastAsia="zh-CN"/>
              </w:rPr>
              <w:t>★</w:t>
            </w:r>
            <w:r>
              <w:rPr>
                <w:rFonts w:hint="eastAsia" w:ascii="宋体" w:hAnsi="宋体" w:eastAsia="宋体" w:cs="Times New Roman"/>
                <w:color w:val="auto"/>
                <w:sz w:val="24"/>
                <w:szCs w:val="24"/>
                <w:highlight w:val="none"/>
              </w:rPr>
              <w:t>”的技术参数，存在负偏离的投标将被否决。</w:t>
            </w:r>
          </w:p>
          <w:p w14:paraId="56E6BD3A">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lang w:val="en-US" w:eastAsia="zh-CN"/>
              </w:rPr>
              <w:t>2</w:t>
            </w:r>
            <w:r>
              <w:rPr>
                <w:rFonts w:hint="eastAsia" w:ascii="宋体" w:hAnsi="宋体" w:eastAsia="宋体" w:cs="Times New Roman"/>
                <w:color w:val="auto"/>
                <w:sz w:val="24"/>
                <w:szCs w:val="24"/>
                <w:highlight w:val="none"/>
              </w:rPr>
              <w:t>）标注“▲”的技术参数，每一项负偏离扣2分，</w:t>
            </w:r>
            <w:r>
              <w:rPr>
                <w:rFonts w:hint="eastAsia" w:ascii="宋体" w:hAnsi="宋体" w:eastAsia="宋体" w:cs="Times New Roman"/>
                <w:color w:val="auto"/>
                <w:sz w:val="24"/>
                <w:szCs w:val="24"/>
                <w:highlight w:val="none"/>
                <w:lang w:val="en-US" w:eastAsia="zh-CN"/>
              </w:rPr>
              <w:t>10</w:t>
            </w:r>
            <w:r>
              <w:rPr>
                <w:rFonts w:hint="eastAsia" w:ascii="宋体" w:hAnsi="宋体" w:eastAsia="宋体" w:cs="Times New Roman"/>
                <w:color w:val="auto"/>
                <w:sz w:val="24"/>
                <w:szCs w:val="24"/>
                <w:highlight w:val="none"/>
              </w:rPr>
              <w:t>项（不含）以上存在负偏离的投标将被否决，本小项满分</w:t>
            </w:r>
            <w:r>
              <w:rPr>
                <w:rFonts w:hint="eastAsia" w:ascii="宋体" w:hAnsi="宋体" w:eastAsia="宋体" w:cs="Times New Roman"/>
                <w:color w:val="auto"/>
                <w:sz w:val="24"/>
                <w:szCs w:val="24"/>
                <w:highlight w:val="none"/>
                <w:lang w:val="en-US" w:eastAsia="zh-CN"/>
              </w:rPr>
              <w:t>20</w:t>
            </w:r>
            <w:r>
              <w:rPr>
                <w:rFonts w:hint="eastAsia" w:ascii="宋体" w:hAnsi="宋体" w:eastAsia="宋体" w:cs="Times New Roman"/>
                <w:color w:val="auto"/>
                <w:sz w:val="24"/>
                <w:szCs w:val="24"/>
                <w:highlight w:val="none"/>
              </w:rPr>
              <w:t>分。</w:t>
            </w:r>
          </w:p>
          <w:p w14:paraId="5F392417">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（2）未标注“▲”的技术参数要求，每一项负偏离扣1分，</w:t>
            </w:r>
            <w:r>
              <w:rPr>
                <w:rFonts w:hint="eastAsia" w:ascii="宋体" w:hAnsi="宋体" w:eastAsia="宋体" w:cs="Times New Roman"/>
                <w:color w:val="auto"/>
                <w:sz w:val="24"/>
                <w:szCs w:val="24"/>
                <w:highlight w:val="none"/>
                <w:lang w:val="en-US" w:eastAsia="zh-CN"/>
              </w:rPr>
              <w:t>21</w:t>
            </w:r>
            <w:r>
              <w:rPr>
                <w:rFonts w:hint="eastAsia" w:ascii="宋体" w:hAnsi="宋体" w:eastAsia="宋体" w:cs="Times New Roman"/>
                <w:color w:val="auto"/>
                <w:sz w:val="24"/>
                <w:szCs w:val="24"/>
                <w:highlight w:val="none"/>
              </w:rPr>
              <w:t>项（不含）以上存在负偏离的投标将被否决，本小项满分</w:t>
            </w:r>
            <w:r>
              <w:rPr>
                <w:rFonts w:hint="eastAsia" w:ascii="宋体" w:hAnsi="宋体" w:eastAsia="宋体" w:cs="Times New Roman"/>
                <w:color w:val="auto"/>
                <w:sz w:val="24"/>
                <w:szCs w:val="24"/>
                <w:highlight w:val="none"/>
                <w:lang w:val="en-US" w:eastAsia="zh-CN"/>
              </w:rPr>
              <w:t>21</w:t>
            </w:r>
            <w:r>
              <w:rPr>
                <w:rFonts w:hint="eastAsia" w:ascii="宋体" w:hAnsi="宋体" w:eastAsia="宋体" w:cs="Times New Roman"/>
                <w:color w:val="auto"/>
                <w:sz w:val="24"/>
                <w:szCs w:val="24"/>
                <w:highlight w:val="none"/>
              </w:rPr>
              <w:t>分。</w:t>
            </w:r>
          </w:p>
          <w:p w14:paraId="37A74A58">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注：以投标响应表中的技术响应表和采购需求中要求提供的证明材料作为评审依据。</w:t>
            </w:r>
          </w:p>
        </w:tc>
        <w:tc>
          <w:tcPr>
            <w:tcW w:w="927" w:type="pct"/>
            <w:tcBorders>
              <w:top w:val="single" w:color="auto" w:sz="4" w:space="0"/>
              <w:left w:val="nil"/>
              <w:bottom w:val="single" w:color="auto" w:sz="4" w:space="0"/>
              <w:right w:val="single" w:color="auto" w:sz="4" w:space="0"/>
            </w:tcBorders>
            <w:vAlign w:val="center"/>
          </w:tcPr>
          <w:p w14:paraId="7EE7F2C3">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color w:val="auto"/>
                <w:sz w:val="24"/>
                <w:szCs w:val="24"/>
                <w:highlight w:val="none"/>
              </w:rPr>
              <w:t>0-</w:t>
            </w:r>
            <w:r>
              <w:rPr>
                <w:rFonts w:hint="eastAsia" w:ascii="宋体" w:hAnsi="宋体" w:eastAsia="宋体" w:cs="Times New Roman"/>
                <w:color w:val="auto"/>
                <w:sz w:val="24"/>
                <w:szCs w:val="24"/>
                <w:highlight w:val="none"/>
                <w:lang w:val="en-US" w:eastAsia="zh-CN"/>
              </w:rPr>
              <w:t>41</w:t>
            </w:r>
            <w:r>
              <w:rPr>
                <w:rFonts w:hint="eastAsia" w:ascii="宋体" w:hAnsi="宋体" w:eastAsia="宋体" w:cs="Times New Roman"/>
                <w:color w:val="auto"/>
                <w:sz w:val="24"/>
                <w:szCs w:val="24"/>
                <w:highlight w:val="none"/>
              </w:rPr>
              <w:t>分</w:t>
            </w:r>
          </w:p>
        </w:tc>
      </w:tr>
      <w:tr w14:paraId="10C36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nil"/>
              <w:left w:val="single" w:color="auto" w:sz="4" w:space="0"/>
              <w:bottom w:val="single" w:color="auto" w:sz="4" w:space="0"/>
              <w:right w:val="single" w:color="auto" w:sz="4" w:space="0"/>
            </w:tcBorders>
            <w:vAlign w:val="center"/>
          </w:tcPr>
          <w:p w14:paraId="5302DAA8">
            <w:pPr>
              <w:widowControl/>
              <w:jc w:val="left"/>
              <w:rPr>
                <w:rFonts w:hint="eastAsia" w:ascii="宋体" w:hAnsi="宋体" w:eastAsia="宋体" w:cs="Times New Roman"/>
                <w:b/>
                <w:bCs/>
                <w:color w:val="auto"/>
                <w:sz w:val="24"/>
                <w:szCs w:val="24"/>
                <w:highlight w:val="none"/>
              </w:rPr>
            </w:pPr>
          </w:p>
        </w:tc>
        <w:tc>
          <w:tcPr>
            <w:tcW w:w="1009" w:type="pct"/>
            <w:tcBorders>
              <w:top w:val="single" w:color="auto" w:sz="4" w:space="0"/>
              <w:left w:val="nil"/>
              <w:bottom w:val="single" w:color="auto" w:sz="4" w:space="0"/>
              <w:right w:val="single" w:color="auto" w:sz="4" w:space="0"/>
            </w:tcBorders>
            <w:vAlign w:val="center"/>
          </w:tcPr>
          <w:p w14:paraId="686FBE3C">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项目重难点的应对措施</w:t>
            </w:r>
          </w:p>
        </w:tc>
        <w:tc>
          <w:tcPr>
            <w:tcW w:w="2197" w:type="pct"/>
            <w:tcBorders>
              <w:top w:val="single" w:color="auto" w:sz="4" w:space="0"/>
              <w:left w:val="nil"/>
              <w:bottom w:val="single" w:color="auto" w:sz="4" w:space="0"/>
              <w:right w:val="single" w:color="auto" w:sz="4" w:space="0"/>
            </w:tcBorders>
            <w:vAlign w:val="center"/>
          </w:tcPr>
          <w:p w14:paraId="3001DCDF">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评标委员会根据招标文件要求及投标人提供的项目重难点应对措施，进行综合评分：</w:t>
            </w:r>
          </w:p>
          <w:p w14:paraId="6A58DE23">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（1）措施完整详细，可行性、实用性、针对性较强，优于本项目采购需求的，得5分。</w:t>
            </w:r>
          </w:p>
          <w:p w14:paraId="4EF3CBC8">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（2）措施基本完整，具有可行性、实用性、针对性，适合本项目采购需求的，得3分。</w:t>
            </w:r>
          </w:p>
          <w:p w14:paraId="06FCFB36">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（3）措施有待提升，可行性、实用性、针对性有待完善，基本适合本项目采购需求的，得1分。</w:t>
            </w:r>
          </w:p>
          <w:p w14:paraId="199DB289">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（4）方案不可行或未提供的，得0分。</w:t>
            </w:r>
          </w:p>
        </w:tc>
        <w:tc>
          <w:tcPr>
            <w:tcW w:w="927" w:type="pct"/>
            <w:tcBorders>
              <w:top w:val="single" w:color="auto" w:sz="4" w:space="0"/>
              <w:left w:val="nil"/>
              <w:bottom w:val="single" w:color="auto" w:sz="4" w:space="0"/>
              <w:right w:val="single" w:color="auto" w:sz="4" w:space="0"/>
            </w:tcBorders>
            <w:vAlign w:val="center"/>
          </w:tcPr>
          <w:p w14:paraId="76081597">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color w:val="auto"/>
                <w:sz w:val="24"/>
                <w:szCs w:val="24"/>
                <w:highlight w:val="none"/>
              </w:rPr>
              <w:t>0-5分</w:t>
            </w:r>
          </w:p>
        </w:tc>
      </w:tr>
      <w:tr w14:paraId="710DA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nil"/>
              <w:left w:val="single" w:color="auto" w:sz="4" w:space="0"/>
              <w:bottom w:val="single" w:color="auto" w:sz="4" w:space="0"/>
              <w:right w:val="single" w:color="auto" w:sz="4" w:space="0"/>
            </w:tcBorders>
            <w:vAlign w:val="center"/>
          </w:tcPr>
          <w:p w14:paraId="33FE8C7D">
            <w:pPr>
              <w:widowControl/>
              <w:jc w:val="left"/>
              <w:rPr>
                <w:rFonts w:hint="eastAsia" w:ascii="宋体" w:hAnsi="宋体" w:eastAsia="宋体" w:cs="Times New Roman"/>
                <w:b/>
                <w:bCs/>
                <w:color w:val="auto"/>
                <w:sz w:val="24"/>
                <w:szCs w:val="24"/>
                <w:highlight w:val="none"/>
              </w:rPr>
            </w:pPr>
          </w:p>
        </w:tc>
        <w:tc>
          <w:tcPr>
            <w:tcW w:w="1009" w:type="pct"/>
            <w:tcBorders>
              <w:top w:val="single" w:color="auto" w:sz="4" w:space="0"/>
              <w:left w:val="nil"/>
              <w:bottom w:val="single" w:color="auto" w:sz="4" w:space="0"/>
              <w:right w:val="single" w:color="auto" w:sz="4" w:space="0"/>
            </w:tcBorders>
            <w:vAlign w:val="center"/>
          </w:tcPr>
          <w:p w14:paraId="2C250410">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供货方案</w:t>
            </w:r>
          </w:p>
        </w:tc>
        <w:tc>
          <w:tcPr>
            <w:tcW w:w="2197" w:type="pct"/>
            <w:tcBorders>
              <w:top w:val="single" w:color="auto" w:sz="4" w:space="0"/>
              <w:left w:val="nil"/>
              <w:bottom w:val="single" w:color="auto" w:sz="4" w:space="0"/>
              <w:right w:val="single" w:color="auto" w:sz="4" w:space="0"/>
            </w:tcBorders>
            <w:vAlign w:val="center"/>
          </w:tcPr>
          <w:p w14:paraId="41A78CF5">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评标委员会根据招标文件要求及投标人提供的供货方案</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lang w:val="en-US" w:eastAsia="zh-CN"/>
              </w:rPr>
              <w:t>包含但不限于交货周期、物流防护、到货验收、证照资料交付、供货保障预案等</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，进行综合评分：</w:t>
            </w:r>
          </w:p>
          <w:p w14:paraId="0E4EFF7E">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（1）方案全面，组织架构科学，人员配置合理，响应时间快，可行性、实用性、针对性较强，优于本项目采购需求的，得5分。</w:t>
            </w:r>
          </w:p>
          <w:p w14:paraId="7213C18A">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（2）方案较全面，组织架构较合理，人员配置较合理，响应时间较快，具有可行性、实用性、针对性，适合本项目采购需求的，得3分。</w:t>
            </w:r>
          </w:p>
          <w:p w14:paraId="692807CF">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（3）方案有待提升，可行性、实用性、针对性有待完善，基本适合本项目采购需求的，得1分。</w:t>
            </w:r>
          </w:p>
          <w:p w14:paraId="2175818B">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（4）方案不可行或未提供的，得0分。</w:t>
            </w:r>
          </w:p>
        </w:tc>
        <w:tc>
          <w:tcPr>
            <w:tcW w:w="927" w:type="pct"/>
            <w:tcBorders>
              <w:top w:val="single" w:color="auto" w:sz="4" w:space="0"/>
              <w:left w:val="nil"/>
              <w:bottom w:val="single" w:color="auto" w:sz="4" w:space="0"/>
              <w:right w:val="single" w:color="auto" w:sz="4" w:space="0"/>
            </w:tcBorders>
            <w:vAlign w:val="center"/>
          </w:tcPr>
          <w:p w14:paraId="7F868DA5">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0-5分</w:t>
            </w:r>
          </w:p>
        </w:tc>
      </w:tr>
      <w:tr w14:paraId="4AF75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nil"/>
              <w:left w:val="single" w:color="auto" w:sz="4" w:space="0"/>
              <w:bottom w:val="single" w:color="auto" w:sz="4" w:space="0"/>
              <w:right w:val="single" w:color="auto" w:sz="4" w:space="0"/>
            </w:tcBorders>
            <w:vAlign w:val="center"/>
          </w:tcPr>
          <w:p w14:paraId="7B8D9915">
            <w:pPr>
              <w:widowControl/>
              <w:jc w:val="left"/>
              <w:rPr>
                <w:rFonts w:hint="eastAsia" w:ascii="宋体" w:hAnsi="宋体" w:eastAsia="宋体" w:cs="Times New Roman"/>
                <w:b/>
                <w:bCs/>
                <w:color w:val="auto"/>
                <w:sz w:val="24"/>
                <w:szCs w:val="24"/>
                <w:highlight w:val="none"/>
              </w:rPr>
            </w:pPr>
          </w:p>
        </w:tc>
        <w:tc>
          <w:tcPr>
            <w:tcW w:w="1009" w:type="pct"/>
            <w:tcBorders>
              <w:top w:val="single" w:color="auto" w:sz="4" w:space="0"/>
              <w:left w:val="nil"/>
              <w:bottom w:val="single" w:color="auto" w:sz="4" w:space="0"/>
              <w:right w:val="single" w:color="auto" w:sz="4" w:space="0"/>
            </w:tcBorders>
            <w:vAlign w:val="center"/>
          </w:tcPr>
          <w:p w14:paraId="4F44D82E">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安装调试方案</w:t>
            </w:r>
          </w:p>
        </w:tc>
        <w:tc>
          <w:tcPr>
            <w:tcW w:w="2197" w:type="pct"/>
            <w:tcBorders>
              <w:top w:val="single" w:color="auto" w:sz="4" w:space="0"/>
              <w:left w:val="nil"/>
              <w:bottom w:val="single" w:color="auto" w:sz="4" w:space="0"/>
              <w:right w:val="single" w:color="auto" w:sz="4" w:space="0"/>
            </w:tcBorders>
            <w:vAlign w:val="center"/>
          </w:tcPr>
          <w:p w14:paraId="2CC3F2E9">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评标委员会根据投标人提供的安装调试方案</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lang w:val="en-US" w:eastAsia="zh-CN"/>
              </w:rPr>
              <w:t>包含但不限于现场条件、设备校准、参数调试、装机自检、科室现场验收流程等</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进行综合评分：</w:t>
            </w:r>
          </w:p>
          <w:p w14:paraId="1808B4A3">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（1）安装调试过程中提供充足的备品备件、辅材，能够在规定时间内完成安装调试任务，优于本项目采购需求的，得5分；</w:t>
            </w:r>
          </w:p>
          <w:p w14:paraId="3F23B03F">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（2）供货安装过程中提供的备品备件、辅材预留情况基本满足项目需求，能够在规定时间内完成安装调试任务，适合本项目采购需求的，得3分；</w:t>
            </w:r>
          </w:p>
          <w:p w14:paraId="5267482F">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（3）供货安装过程中提供的备品备件、辅材预留情况有待完善，能够在规定时间内完成安装调试任务的，得1分；</w:t>
            </w:r>
          </w:p>
          <w:p w14:paraId="79C93AE2">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（4）方案不可行或者未提供，得0分。</w:t>
            </w:r>
          </w:p>
        </w:tc>
        <w:tc>
          <w:tcPr>
            <w:tcW w:w="927" w:type="pct"/>
            <w:tcBorders>
              <w:top w:val="single" w:color="auto" w:sz="4" w:space="0"/>
              <w:left w:val="nil"/>
              <w:bottom w:val="single" w:color="auto" w:sz="4" w:space="0"/>
              <w:right w:val="single" w:color="auto" w:sz="4" w:space="0"/>
            </w:tcBorders>
            <w:vAlign w:val="center"/>
          </w:tcPr>
          <w:p w14:paraId="5343CD9D">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0-5分</w:t>
            </w:r>
          </w:p>
        </w:tc>
      </w:tr>
      <w:tr w14:paraId="27FEB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nil"/>
              <w:left w:val="single" w:color="auto" w:sz="4" w:space="0"/>
              <w:bottom w:val="single" w:color="auto" w:sz="4" w:space="0"/>
              <w:right w:val="single" w:color="auto" w:sz="4" w:space="0"/>
            </w:tcBorders>
            <w:vAlign w:val="center"/>
          </w:tcPr>
          <w:p w14:paraId="74DA8091">
            <w:pPr>
              <w:widowControl/>
              <w:jc w:val="left"/>
              <w:rPr>
                <w:rFonts w:hint="eastAsia" w:ascii="宋体" w:hAnsi="宋体" w:eastAsia="宋体" w:cs="Times New Roman"/>
                <w:b/>
                <w:bCs/>
                <w:color w:val="auto"/>
                <w:sz w:val="24"/>
                <w:szCs w:val="24"/>
                <w:highlight w:val="none"/>
              </w:rPr>
            </w:pPr>
          </w:p>
        </w:tc>
        <w:tc>
          <w:tcPr>
            <w:tcW w:w="1009" w:type="pct"/>
            <w:tcBorders>
              <w:top w:val="single" w:color="auto" w:sz="4" w:space="0"/>
              <w:left w:val="nil"/>
              <w:bottom w:val="single" w:color="auto" w:sz="4" w:space="0"/>
              <w:right w:val="single" w:color="auto" w:sz="4" w:space="0"/>
            </w:tcBorders>
            <w:vAlign w:val="center"/>
          </w:tcPr>
          <w:p w14:paraId="1861BC64">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售后服务方案</w:t>
            </w:r>
          </w:p>
        </w:tc>
        <w:tc>
          <w:tcPr>
            <w:tcW w:w="2197" w:type="pct"/>
            <w:tcBorders>
              <w:top w:val="single" w:color="auto" w:sz="4" w:space="0"/>
              <w:left w:val="nil"/>
              <w:bottom w:val="single" w:color="auto" w:sz="4" w:space="0"/>
              <w:right w:val="single" w:color="auto" w:sz="4" w:space="0"/>
            </w:tcBorders>
            <w:vAlign w:val="center"/>
          </w:tcPr>
          <w:p w14:paraId="5BD8E128">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评标委员会根据招标文件要求及投标人提供的售后服务方案</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lang w:val="en-US" w:eastAsia="zh-CN"/>
              </w:rPr>
              <w:t>包含但不限于实操培训、软件升级、质保、临床技术支持等</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，进行综合评分：</w:t>
            </w:r>
          </w:p>
          <w:p w14:paraId="6632C6B1">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（1）具有完善的售后服务计划、措施，技术支持快速及时，培训方案完整详细，可行性、实用性、针对性较强，优于本项目采购需求的，得5分；</w:t>
            </w:r>
          </w:p>
          <w:p w14:paraId="3B128A41">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（2）售后服务计划、措施基本完善，培训内容基本详实，技术支持及时，培训方案基本完整，具有可行性、实用性、针对性，能够保障本项目采购需求的，得3分；</w:t>
            </w:r>
          </w:p>
          <w:p w14:paraId="32B6121A">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（3）售后服务方案、培训方案有待提升，可行性、实用性、针对性有待完善，基本保障本项目采购需求的，得1分；</w:t>
            </w:r>
          </w:p>
          <w:p w14:paraId="14A41215">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（4）方案不可行或未提供的得0分。</w:t>
            </w:r>
          </w:p>
        </w:tc>
        <w:tc>
          <w:tcPr>
            <w:tcW w:w="927" w:type="pct"/>
            <w:tcBorders>
              <w:top w:val="single" w:color="auto" w:sz="4" w:space="0"/>
              <w:left w:val="nil"/>
              <w:bottom w:val="single" w:color="auto" w:sz="4" w:space="0"/>
              <w:right w:val="single" w:color="auto" w:sz="4" w:space="0"/>
            </w:tcBorders>
            <w:vAlign w:val="center"/>
          </w:tcPr>
          <w:p w14:paraId="43CDA36A">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0-5分</w:t>
            </w:r>
          </w:p>
        </w:tc>
      </w:tr>
      <w:tr w14:paraId="6DEC8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nil"/>
              <w:left w:val="single" w:color="auto" w:sz="4" w:space="0"/>
              <w:bottom w:val="single" w:color="auto" w:sz="4" w:space="0"/>
              <w:right w:val="single" w:color="auto" w:sz="4" w:space="0"/>
            </w:tcBorders>
            <w:vAlign w:val="center"/>
          </w:tcPr>
          <w:p w14:paraId="54E25D93">
            <w:pPr>
              <w:widowControl/>
              <w:jc w:val="left"/>
              <w:rPr>
                <w:rFonts w:hint="eastAsia" w:ascii="宋体" w:hAnsi="宋体" w:eastAsia="宋体" w:cs="Times New Roman"/>
                <w:b/>
                <w:bCs/>
                <w:color w:val="auto"/>
                <w:sz w:val="24"/>
                <w:szCs w:val="24"/>
                <w:highlight w:val="none"/>
              </w:rPr>
            </w:pPr>
          </w:p>
        </w:tc>
        <w:tc>
          <w:tcPr>
            <w:tcW w:w="1009" w:type="pct"/>
            <w:tcBorders>
              <w:top w:val="single" w:color="auto" w:sz="4" w:space="0"/>
              <w:left w:val="nil"/>
              <w:bottom w:val="single" w:color="auto" w:sz="4" w:space="0"/>
              <w:right w:val="single" w:color="auto" w:sz="4" w:space="0"/>
            </w:tcBorders>
            <w:vAlign w:val="center"/>
          </w:tcPr>
          <w:p w14:paraId="2AF20395">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优惠承诺及增值服务</w:t>
            </w:r>
          </w:p>
        </w:tc>
        <w:tc>
          <w:tcPr>
            <w:tcW w:w="2197" w:type="pct"/>
            <w:tcBorders>
              <w:top w:val="single" w:color="auto" w:sz="4" w:space="0"/>
              <w:left w:val="nil"/>
              <w:bottom w:val="single" w:color="auto" w:sz="4" w:space="0"/>
              <w:right w:val="single" w:color="auto" w:sz="4" w:space="0"/>
            </w:tcBorders>
            <w:vAlign w:val="center"/>
          </w:tcPr>
          <w:p w14:paraId="0C17F64C">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评标委员根据投标人提供的优惠承诺及增值服务对于采购人的实际经济效益进行评审：</w:t>
            </w:r>
          </w:p>
          <w:p w14:paraId="703A7E88">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（1）有具体优惠条件及增值服务，且优惠条件及增值服务实用性强，实际价值高的，得5分；</w:t>
            </w:r>
          </w:p>
          <w:p w14:paraId="3E70B103">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（2）有具体的优惠条件及增值服务，且优惠条件及增值服务具有实用性的，得3分；</w:t>
            </w:r>
          </w:p>
          <w:p w14:paraId="6C9F7F24">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（3）有优惠条件及增值服务，实用性有待提升的，得1分；</w:t>
            </w:r>
          </w:p>
          <w:p w14:paraId="3BD10842">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（4）未提供的，得0分。</w:t>
            </w:r>
          </w:p>
        </w:tc>
        <w:tc>
          <w:tcPr>
            <w:tcW w:w="927" w:type="pct"/>
            <w:tcBorders>
              <w:top w:val="single" w:color="auto" w:sz="4" w:space="0"/>
              <w:left w:val="nil"/>
              <w:bottom w:val="single" w:color="auto" w:sz="4" w:space="0"/>
              <w:right w:val="single" w:color="auto" w:sz="4" w:space="0"/>
            </w:tcBorders>
            <w:vAlign w:val="center"/>
          </w:tcPr>
          <w:p w14:paraId="66D3136E">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color w:val="auto"/>
                <w:sz w:val="24"/>
                <w:szCs w:val="24"/>
                <w:highlight w:val="none"/>
              </w:rPr>
              <w:t>0-5分</w:t>
            </w:r>
          </w:p>
        </w:tc>
      </w:tr>
      <w:tr w14:paraId="04405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5" w:type="pct"/>
            <w:tcBorders>
              <w:top w:val="single" w:color="auto" w:sz="4" w:space="0"/>
              <w:left w:val="single" w:color="auto" w:sz="4" w:space="0"/>
              <w:bottom w:val="single" w:color="auto" w:sz="4" w:space="0"/>
              <w:right w:val="single" w:color="auto" w:sz="4" w:space="0"/>
            </w:tcBorders>
            <w:vAlign w:val="center"/>
          </w:tcPr>
          <w:p w14:paraId="2C6417CE">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价格分</w:t>
            </w:r>
          </w:p>
          <w:p w14:paraId="4F108295">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u w:val="single"/>
              </w:rPr>
              <w:t>30</w:t>
            </w:r>
            <w:r>
              <w:rPr>
                <w:rFonts w:hint="eastAsia" w:ascii="宋体" w:hAnsi="宋体" w:eastAsia="宋体" w:cs="Times New Roman"/>
                <w:color w:val="auto"/>
                <w:sz w:val="24"/>
                <w:szCs w:val="24"/>
                <w:highlight w:val="none"/>
              </w:rPr>
              <w:t>分）</w:t>
            </w:r>
          </w:p>
        </w:tc>
        <w:tc>
          <w:tcPr>
            <w:tcW w:w="4134" w:type="pct"/>
            <w:gridSpan w:val="3"/>
            <w:tcBorders>
              <w:top w:val="single" w:color="auto" w:sz="4" w:space="0"/>
              <w:left w:val="nil"/>
              <w:bottom w:val="single" w:color="auto" w:sz="4" w:space="0"/>
              <w:right w:val="single" w:color="auto" w:sz="4" w:space="0"/>
            </w:tcBorders>
            <w:vAlign w:val="center"/>
          </w:tcPr>
          <w:p w14:paraId="73E2B9BE">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价格分统一采用低价优先法，即满足招标文件要求且投标价格最低的投标报价为评标基准价，其价格分为满分30分。其他投标人的价格分统一按照下列公式计算：</w:t>
            </w:r>
          </w:p>
          <w:p w14:paraId="1616FB39">
            <w:pPr>
              <w:spacing w:line="360" w:lineRule="auto"/>
              <w:rPr>
                <w:rFonts w:hint="eastAsia" w:ascii="宋体" w:hAnsi="宋体" w:eastAsia="宋体" w:cs="Times New Roman"/>
                <w:b/>
                <w:bCs/>
                <w:color w:val="auto"/>
                <w:sz w:val="24"/>
                <w:szCs w:val="24"/>
                <w:highlight w:val="none"/>
              </w:rPr>
            </w:pPr>
            <w:r>
              <w:rPr>
                <w:rFonts w:hint="eastAsia" w:ascii="宋体" w:hAnsi="宋体" w:eastAsia="宋体" w:cs="Times New Roman"/>
                <w:color w:val="auto"/>
                <w:sz w:val="24"/>
                <w:szCs w:val="24"/>
                <w:highlight w:val="none"/>
              </w:rPr>
              <w:t>投标报价得分＝（评标基准价/投标报价）×30％×100</w:t>
            </w:r>
          </w:p>
        </w:tc>
      </w:tr>
    </w:tbl>
    <w:p w14:paraId="06DAB435">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rPr>
        <w:t>分值汇总</w:t>
      </w:r>
    </w:p>
    <w:p w14:paraId="0F400942">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评标委员会各成员应当独立对每个</w:t>
      </w:r>
      <w:r>
        <w:rPr>
          <w:rFonts w:hint="eastAsia" w:asciiTheme="minorEastAsia" w:hAnsiTheme="minorEastAsia" w:eastAsiaTheme="minorEastAsia"/>
          <w:color w:val="auto"/>
          <w:sz w:val="24"/>
          <w:highlight w:val="none"/>
        </w:rPr>
        <w:t>有效</w:t>
      </w:r>
      <w:r>
        <w:rPr>
          <w:rFonts w:asciiTheme="minorEastAsia" w:hAnsiTheme="minorEastAsia" w:eastAsiaTheme="minorEastAsia"/>
          <w:color w:val="auto"/>
          <w:sz w:val="24"/>
          <w:highlight w:val="none"/>
        </w:rPr>
        <w:t>投标人的投标文件进行评</w:t>
      </w:r>
      <w:r>
        <w:rPr>
          <w:rFonts w:hint="eastAsia" w:asciiTheme="minorEastAsia" w:hAnsiTheme="minorEastAsia" w:eastAsiaTheme="minorEastAsia"/>
          <w:color w:val="auto"/>
          <w:sz w:val="24"/>
          <w:highlight w:val="none"/>
        </w:rPr>
        <w:t>分</w:t>
      </w:r>
      <w:r>
        <w:rPr>
          <w:rFonts w:asciiTheme="minorEastAsia" w:hAnsiTheme="minorEastAsia" w:eastAsiaTheme="minorEastAsia"/>
          <w:color w:val="auto"/>
          <w:sz w:val="24"/>
          <w:highlight w:val="none"/>
        </w:rPr>
        <w:t>，并汇总每个投</w:t>
      </w:r>
      <w:r>
        <w:rPr>
          <w:rFonts w:hint="eastAsia" w:asciiTheme="minorEastAsia" w:hAnsiTheme="minorEastAsia" w:eastAsiaTheme="minorEastAsia"/>
          <w:color w:val="auto"/>
          <w:sz w:val="24"/>
          <w:highlight w:val="none"/>
        </w:rPr>
        <w:t>标人的得分。取各位评委评分之平均值，四舍五入保留至小数点后两位数，</w:t>
      </w:r>
      <w:r>
        <w:rPr>
          <w:rFonts w:asciiTheme="minorEastAsia" w:hAnsiTheme="minorEastAsia" w:eastAsiaTheme="minorEastAsia"/>
          <w:color w:val="auto"/>
          <w:sz w:val="24"/>
          <w:highlight w:val="none"/>
        </w:rPr>
        <w:t>得到该投标</w:t>
      </w:r>
      <w:r>
        <w:rPr>
          <w:rFonts w:hint="eastAsia" w:asciiTheme="minorEastAsia" w:hAnsiTheme="minorEastAsia" w:eastAsiaTheme="minorEastAsia"/>
          <w:color w:val="auto"/>
          <w:sz w:val="24"/>
          <w:highlight w:val="none"/>
        </w:rPr>
        <w:t>人</w:t>
      </w:r>
      <w:r>
        <w:rPr>
          <w:rFonts w:asciiTheme="minorEastAsia" w:hAnsiTheme="minorEastAsia" w:eastAsiaTheme="minorEastAsia"/>
          <w:color w:val="auto"/>
          <w:sz w:val="24"/>
          <w:highlight w:val="none"/>
        </w:rPr>
        <w:t>的技术资信分</w:t>
      </w:r>
      <w:r>
        <w:rPr>
          <w:rFonts w:hint="eastAsia" w:asciiTheme="minorEastAsia" w:hAnsiTheme="minorEastAsia" w:eastAsiaTheme="minorEastAsia"/>
          <w:color w:val="auto"/>
          <w:sz w:val="24"/>
          <w:highlight w:val="none"/>
        </w:rPr>
        <w:t>。</w:t>
      </w:r>
    </w:p>
    <w:p w14:paraId="26AFDEB4">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将投标</w:t>
      </w:r>
      <w:r>
        <w:rPr>
          <w:rFonts w:hint="eastAsia" w:asciiTheme="minorEastAsia" w:hAnsiTheme="minorEastAsia" w:eastAsiaTheme="minorEastAsia"/>
          <w:color w:val="auto"/>
          <w:sz w:val="24"/>
          <w:highlight w:val="none"/>
        </w:rPr>
        <w:t>人</w:t>
      </w:r>
      <w:r>
        <w:rPr>
          <w:rFonts w:asciiTheme="minorEastAsia" w:hAnsiTheme="minorEastAsia" w:eastAsiaTheme="minorEastAsia"/>
          <w:color w:val="auto"/>
          <w:sz w:val="24"/>
          <w:highlight w:val="none"/>
        </w:rPr>
        <w:t>的技术资信分加上根据上述标准计算出的价格分，即为该投标</w:t>
      </w:r>
      <w:r>
        <w:rPr>
          <w:rFonts w:hint="eastAsia" w:asciiTheme="minorEastAsia" w:hAnsiTheme="minorEastAsia" w:eastAsiaTheme="minorEastAsia"/>
          <w:color w:val="auto"/>
          <w:sz w:val="24"/>
          <w:highlight w:val="none"/>
        </w:rPr>
        <w:t>人</w:t>
      </w:r>
      <w:r>
        <w:rPr>
          <w:rFonts w:asciiTheme="minorEastAsia" w:hAnsiTheme="minorEastAsia" w:eastAsiaTheme="minorEastAsia"/>
          <w:color w:val="auto"/>
          <w:sz w:val="24"/>
          <w:highlight w:val="none"/>
        </w:rPr>
        <w:t>的综合总得分。</w:t>
      </w:r>
    </w:p>
    <w:p w14:paraId="43FF5BEF">
      <w:pPr>
        <w:spacing w:line="360" w:lineRule="auto"/>
        <w:ind w:firstLine="435"/>
        <w:rPr>
          <w:rFonts w:hint="eastAsia"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br w:type="page"/>
      </w:r>
    </w:p>
    <w:p w14:paraId="3676B0AC">
      <w:pPr>
        <w:spacing w:line="360" w:lineRule="auto"/>
        <w:jc w:val="center"/>
        <w:outlineLvl w:val="0"/>
        <w:rPr>
          <w:rFonts w:hint="eastAsia" w:asciiTheme="minorEastAsia" w:hAnsiTheme="minorEastAsia" w:eastAsiaTheme="minorEastAsia"/>
          <w:b/>
          <w:color w:val="auto"/>
          <w:sz w:val="28"/>
          <w:highlight w:val="none"/>
        </w:rPr>
      </w:pPr>
      <w:bookmarkStart w:id="55" w:name="_Toc221656363"/>
      <w:r>
        <w:rPr>
          <w:rFonts w:hint="eastAsia" w:asciiTheme="minorEastAsia" w:hAnsiTheme="minorEastAsia" w:eastAsiaTheme="minorEastAsia"/>
          <w:b/>
          <w:color w:val="auto"/>
          <w:sz w:val="28"/>
          <w:highlight w:val="none"/>
        </w:rPr>
        <w:t xml:space="preserve">第五章  </w:t>
      </w:r>
      <w:r>
        <w:rPr>
          <w:rFonts w:asciiTheme="minorEastAsia" w:hAnsiTheme="minorEastAsia" w:eastAsiaTheme="minorEastAsia"/>
          <w:b/>
          <w:color w:val="auto"/>
          <w:sz w:val="28"/>
          <w:highlight w:val="none"/>
        </w:rPr>
        <w:t>政府采购合同</w:t>
      </w:r>
      <w:bookmarkEnd w:id="55"/>
    </w:p>
    <w:p w14:paraId="02648FF4">
      <w:pPr>
        <w:pStyle w:val="2"/>
        <w:rPr>
          <w:rFonts w:hint="eastAsia"/>
          <w:color w:val="auto"/>
          <w:kern w:val="44"/>
          <w:highlight w:val="none"/>
        </w:rPr>
      </w:pPr>
    </w:p>
    <w:p w14:paraId="66F33278">
      <w:pPr>
        <w:pStyle w:val="2"/>
        <w:rPr>
          <w:rFonts w:hint="eastAsia"/>
          <w:color w:val="auto"/>
          <w:kern w:val="44"/>
          <w:highlight w:val="none"/>
        </w:rPr>
      </w:pPr>
    </w:p>
    <w:p w14:paraId="1AE41398">
      <w:pPr>
        <w:pStyle w:val="2"/>
        <w:rPr>
          <w:rFonts w:hint="eastAsia"/>
          <w:color w:val="auto"/>
          <w:kern w:val="44"/>
          <w:highlight w:val="none"/>
        </w:rPr>
      </w:pPr>
    </w:p>
    <w:p w14:paraId="3AD06B36">
      <w:pPr>
        <w:pStyle w:val="2"/>
        <w:rPr>
          <w:rFonts w:hint="eastAsia"/>
          <w:color w:val="auto"/>
          <w:kern w:val="44"/>
          <w:highlight w:val="none"/>
        </w:rPr>
      </w:pPr>
    </w:p>
    <w:p w14:paraId="68ADCAE9">
      <w:pPr>
        <w:spacing w:line="360" w:lineRule="auto"/>
        <w:rPr>
          <w:rFonts w:hint="eastAsia" w:ascii="宋体" w:hAnsi="宋体" w:eastAsia="宋体" w:cs="宋体"/>
          <w:b/>
          <w:bCs/>
          <w:color w:val="auto"/>
          <w:spacing w:val="-20"/>
          <w:kern w:val="44"/>
          <w:sz w:val="24"/>
          <w:szCs w:val="24"/>
          <w:highlight w:val="none"/>
        </w:rPr>
      </w:pPr>
    </w:p>
    <w:p w14:paraId="6E4E33BE">
      <w:pPr>
        <w:pStyle w:val="2"/>
        <w:rPr>
          <w:rFonts w:hint="eastAsia"/>
          <w:color w:val="auto"/>
          <w:kern w:val="44"/>
          <w:highlight w:val="none"/>
        </w:rPr>
      </w:pPr>
    </w:p>
    <w:p w14:paraId="4923FDD4">
      <w:pPr>
        <w:pStyle w:val="2"/>
        <w:rPr>
          <w:rFonts w:hint="eastAsia"/>
          <w:color w:val="auto"/>
          <w:kern w:val="44"/>
          <w:highlight w:val="none"/>
        </w:rPr>
      </w:pPr>
    </w:p>
    <w:p w14:paraId="04CD86F6">
      <w:pPr>
        <w:spacing w:line="360" w:lineRule="auto"/>
        <w:rPr>
          <w:rFonts w:hint="eastAsia" w:ascii="宋体" w:hAnsi="宋体" w:eastAsia="宋体" w:cs="宋体"/>
          <w:b/>
          <w:bCs/>
          <w:color w:val="auto"/>
          <w:spacing w:val="-20"/>
          <w:kern w:val="44"/>
          <w:sz w:val="24"/>
          <w:szCs w:val="24"/>
          <w:highlight w:val="none"/>
        </w:rPr>
      </w:pPr>
    </w:p>
    <w:p w14:paraId="5BBF2FC8">
      <w:pPr>
        <w:pStyle w:val="2"/>
        <w:rPr>
          <w:rFonts w:hint="eastAsia"/>
          <w:color w:val="auto"/>
          <w:highlight w:val="none"/>
        </w:rPr>
      </w:pPr>
    </w:p>
    <w:p w14:paraId="5098F022">
      <w:pPr>
        <w:spacing w:line="360" w:lineRule="auto"/>
        <w:rPr>
          <w:rFonts w:hint="eastAsia" w:ascii="宋体" w:hAnsi="宋体" w:eastAsia="宋体" w:cs="宋体"/>
          <w:b/>
          <w:bCs/>
          <w:color w:val="auto"/>
          <w:spacing w:val="-20"/>
          <w:kern w:val="44"/>
          <w:sz w:val="24"/>
          <w:szCs w:val="24"/>
          <w:highlight w:val="none"/>
        </w:rPr>
      </w:pPr>
    </w:p>
    <w:p w14:paraId="16413872">
      <w:pPr>
        <w:spacing w:line="360" w:lineRule="auto"/>
        <w:ind w:left="420" w:leftChars="200"/>
        <w:rPr>
          <w:rFonts w:hint="eastAsia" w:cs="Times New Roman" w:asciiTheme="minorEastAsia" w:hAnsiTheme="minorEastAsia" w:eastAsiaTheme="minorEastAsia"/>
          <w:i/>
          <w:iCs/>
          <w:color w:val="auto"/>
          <w:sz w:val="24"/>
          <w:szCs w:val="24"/>
          <w:highlight w:val="none"/>
        </w:rPr>
      </w:pPr>
      <w:r>
        <w:rPr>
          <w:rFonts w:hint="eastAsia" w:ascii="宋体" w:hAnsi="宋体" w:eastAsia="宋体" w:cs="宋体"/>
          <w:color w:val="auto"/>
          <w:kern w:val="0"/>
          <w:sz w:val="24"/>
          <w:szCs w:val="24"/>
          <w:highlight w:val="none"/>
        </w:rPr>
        <w:t>项目名称：</w:t>
      </w:r>
      <w:r>
        <w:rPr>
          <w:rFonts w:hint="eastAsia" w:ascii="宋体" w:hAnsi="宋体" w:eastAsia="宋体" w:cs="宋体"/>
          <w:color w:val="auto"/>
          <w:sz w:val="24"/>
          <w:szCs w:val="24"/>
          <w:highlight w:val="none"/>
          <w:u w:val="single"/>
        </w:rPr>
        <w:t xml:space="preserve">                             </w:t>
      </w:r>
    </w:p>
    <w:p w14:paraId="5F1F3D10">
      <w:pPr>
        <w:spacing w:line="360" w:lineRule="auto"/>
        <w:ind w:left="420" w:leftChars="200"/>
        <w:rPr>
          <w:rFonts w:hint="eastAsia"/>
          <w:color w:val="auto"/>
          <w:highlight w:val="none"/>
        </w:rPr>
      </w:pPr>
      <w:r>
        <w:rPr>
          <w:rFonts w:hint="eastAsia" w:ascii="宋体" w:hAnsi="宋体" w:eastAsia="宋体" w:cs="宋体"/>
          <w:color w:val="auto"/>
          <w:sz w:val="24"/>
          <w:szCs w:val="24"/>
          <w:highlight w:val="none"/>
        </w:rPr>
        <w:t>项目编号：</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p>
    <w:p w14:paraId="4C766BDF">
      <w:pPr>
        <w:spacing w:line="360" w:lineRule="auto"/>
        <w:ind w:left="420" w:leftChars="2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合同编号：</w:t>
      </w:r>
      <w:r>
        <w:rPr>
          <w:rFonts w:hint="eastAsia" w:ascii="宋体" w:hAnsi="宋体" w:eastAsia="宋体" w:cs="宋体"/>
          <w:color w:val="auto"/>
          <w:sz w:val="24"/>
          <w:szCs w:val="24"/>
          <w:highlight w:val="none"/>
          <w:u w:val="single"/>
        </w:rPr>
        <w:t xml:space="preserve">                             </w:t>
      </w:r>
    </w:p>
    <w:p w14:paraId="76153AC7">
      <w:pPr>
        <w:spacing w:line="360" w:lineRule="auto"/>
        <w:ind w:left="420" w:leftChars="200"/>
        <w:rPr>
          <w:rFonts w:hint="eastAsia" w:ascii="宋体" w:hAnsi="宋体" w:eastAsia="宋体" w:cs="宋体"/>
          <w:color w:val="auto"/>
          <w:sz w:val="24"/>
          <w:szCs w:val="24"/>
          <w:highlight w:val="none"/>
        </w:rPr>
      </w:pPr>
      <w:r>
        <w:rPr>
          <w:rFonts w:hint="eastAsia" w:cs="Times New Roman" w:asciiTheme="minorEastAsia" w:hAnsiTheme="minorEastAsia" w:eastAsiaTheme="minorEastAsia"/>
          <w:color w:val="auto"/>
          <w:sz w:val="24"/>
          <w:szCs w:val="24"/>
          <w:highlight w:val="none"/>
        </w:rPr>
        <w:t>甲方（采购人）</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rPr>
        <w:t xml:space="preserve">                       </w:t>
      </w:r>
    </w:p>
    <w:p w14:paraId="277CCC4C">
      <w:pPr>
        <w:spacing w:line="360" w:lineRule="auto"/>
        <w:ind w:left="420" w:leftChars="200"/>
        <w:rPr>
          <w:rFonts w:hint="eastAsia" w:ascii="宋体" w:hAnsi="宋体" w:eastAsia="宋体" w:cs="宋体"/>
          <w:color w:val="auto"/>
          <w:sz w:val="24"/>
          <w:szCs w:val="24"/>
          <w:highlight w:val="none"/>
          <w:u w:val="single"/>
        </w:rPr>
      </w:pPr>
      <w:r>
        <w:rPr>
          <w:rFonts w:hint="eastAsia" w:cs="Times New Roman" w:asciiTheme="minorEastAsia" w:hAnsiTheme="minorEastAsia" w:eastAsiaTheme="minorEastAsia"/>
          <w:color w:val="auto"/>
          <w:sz w:val="24"/>
          <w:szCs w:val="24"/>
          <w:highlight w:val="none"/>
        </w:rPr>
        <w:t>乙方（中标人）</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rPr>
        <w:t xml:space="preserve">                       </w:t>
      </w:r>
    </w:p>
    <w:p w14:paraId="79B63794">
      <w:pPr>
        <w:spacing w:line="360" w:lineRule="auto"/>
        <w:ind w:left="420" w:left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签订时间：</w:t>
      </w:r>
      <w:r>
        <w:rPr>
          <w:rFonts w:hint="eastAsia" w:ascii="宋体" w:hAnsi="宋体" w:eastAsia="宋体" w:cs="宋体"/>
          <w:color w:val="auto"/>
          <w:sz w:val="24"/>
          <w:szCs w:val="24"/>
          <w:highlight w:val="none"/>
          <w:u w:val="single"/>
        </w:rPr>
        <w:t xml:space="preserve">                             </w:t>
      </w:r>
    </w:p>
    <w:p w14:paraId="5E7F1CE7">
      <w:pPr>
        <w:spacing w:line="360" w:lineRule="auto"/>
        <w:rPr>
          <w:rFonts w:hint="eastAsia" w:ascii="宋体" w:hAnsi="宋体" w:eastAsia="宋体" w:cs="宋体"/>
          <w:color w:val="auto"/>
          <w:sz w:val="24"/>
          <w:szCs w:val="24"/>
          <w:highlight w:val="none"/>
        </w:rPr>
      </w:pPr>
    </w:p>
    <w:p w14:paraId="4D84B8BD">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br w:type="page"/>
      </w:r>
    </w:p>
    <w:p w14:paraId="77AFF6EF">
      <w:pPr>
        <w:spacing w:line="360" w:lineRule="auto"/>
        <w:ind w:firstLine="480" w:firstLineChars="200"/>
        <w:rPr>
          <w:rFonts w:hint="eastAsia" w:ascii="宋体" w:hAnsi="宋体" w:eastAsia="宋体" w:cs="宋体"/>
          <w:color w:val="auto"/>
          <w:sz w:val="24"/>
          <w:szCs w:val="24"/>
          <w:highlight w:val="none"/>
        </w:rPr>
        <w:sectPr>
          <w:headerReference r:id="rId9" w:type="default"/>
          <w:footerReference r:id="rId10" w:type="default"/>
          <w:pgSz w:w="11906" w:h="16838"/>
          <w:pgMar w:top="1440" w:right="1800" w:bottom="1440" w:left="1800" w:header="851" w:footer="992" w:gutter="0"/>
          <w:pgNumType w:start="1"/>
          <w:cols w:space="425" w:num="1"/>
          <w:docGrid w:type="lines" w:linePitch="312" w:charSpace="0"/>
        </w:sectPr>
      </w:pPr>
    </w:p>
    <w:p w14:paraId="34A12B95">
      <w:pPr>
        <w:spacing w:line="360" w:lineRule="auto"/>
        <w:jc w:val="center"/>
        <w:outlineLvl w:val="1"/>
        <w:rPr>
          <w:rFonts w:hint="eastAsia" w:asciiTheme="minorEastAsia" w:hAnsiTheme="minorEastAsia" w:eastAsiaTheme="minorEastAsia"/>
          <w:b/>
          <w:color w:val="auto"/>
          <w:sz w:val="24"/>
          <w:highlight w:val="none"/>
        </w:rPr>
      </w:pPr>
      <w:bookmarkStart w:id="56" w:name="_Toc221656364"/>
      <w:bookmarkStart w:id="57" w:name="_Toc22209"/>
      <w:r>
        <w:rPr>
          <w:rFonts w:hint="eastAsia" w:asciiTheme="minorEastAsia" w:hAnsiTheme="minorEastAsia" w:eastAsiaTheme="minorEastAsia"/>
          <w:b/>
          <w:color w:val="auto"/>
          <w:sz w:val="24"/>
          <w:highlight w:val="none"/>
        </w:rPr>
        <w:t>第一节 政府采购合同协议书</w:t>
      </w:r>
      <w:bookmarkEnd w:id="56"/>
      <w:bookmarkEnd w:id="57"/>
    </w:p>
    <w:p w14:paraId="2611B73E">
      <w:pPr>
        <w:adjustRightInd w:val="0"/>
        <w:snapToGrid w:val="0"/>
        <w:spacing w:line="360" w:lineRule="auto"/>
        <w:rPr>
          <w:rFonts w:hint="eastAsia" w:ascii="宋体" w:hAnsi="宋体" w:eastAsia="宋体" w:cs="宋体"/>
          <w:color w:val="auto"/>
          <w:sz w:val="24"/>
          <w:szCs w:val="24"/>
          <w:highlight w:val="none"/>
        </w:rPr>
      </w:pPr>
    </w:p>
    <w:p w14:paraId="10AF7D46">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甲方（全称）：</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（采购人、受采购人委托签订合同的单位或采购</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t xml:space="preserve">                                   文件约定的合同甲方）</w:t>
      </w:r>
    </w:p>
    <w:p w14:paraId="37659F4D">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乙方1（全称）：</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（供应商）</w:t>
      </w:r>
    </w:p>
    <w:p w14:paraId="509D21A4">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乙方2（全称）：</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（联合体成员供应商或其他合同主体）（如有）</w:t>
      </w:r>
    </w:p>
    <w:p w14:paraId="37207429">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乙方3（全称）</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（联合体成员供应商或其他合同主体）（如有）</w:t>
      </w:r>
    </w:p>
    <w:p w14:paraId="73150BBA">
      <w:pPr>
        <w:spacing w:line="360" w:lineRule="auto"/>
        <w:rPr>
          <w:rFonts w:hint="eastAsia" w:ascii="宋体" w:hAnsi="宋体" w:eastAsia="宋体" w:cs="宋体"/>
          <w:color w:val="auto"/>
          <w:sz w:val="24"/>
          <w:szCs w:val="24"/>
          <w:highlight w:val="none"/>
        </w:rPr>
      </w:pPr>
    </w:p>
    <w:p w14:paraId="096FDFAD">
      <w:pPr>
        <w:pStyle w:val="9"/>
        <w:adjustRightInd w:val="0"/>
        <w:snapToGrid w:val="0"/>
        <w:spacing w:after="0" w:line="360" w:lineRule="auto"/>
        <w:ind w:left="0" w:leftChars="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依据《中华人民共和国民法典》、《中华人民共和国政府采购法》等有关的法律法规，以及本采购项目的招标/谈判文件等采购文件、乙方的《投标（响应）文件》及《中标（成交）通知书》，甲乙双方同意签订本合同。具体情况及要求如下：     </w:t>
      </w:r>
    </w:p>
    <w:p w14:paraId="23E4A220">
      <w:pPr>
        <w:numPr>
          <w:ilvl w:val="0"/>
          <w:numId w:val="2"/>
        </w:numPr>
        <w:adjustRightInd w:val="0"/>
        <w:snapToGrid w:val="0"/>
        <w:spacing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项目信息</w:t>
      </w:r>
    </w:p>
    <w:p w14:paraId="152C7AE5">
      <w:pPr>
        <w:pStyle w:val="9"/>
        <w:numPr>
          <w:ilvl w:val="0"/>
          <w:numId w:val="3"/>
        </w:numPr>
        <w:adjustRightInd w:val="0"/>
        <w:snapToGrid w:val="0"/>
        <w:spacing w:after="0" w:line="360" w:lineRule="auto"/>
        <w:ind w:left="0" w:leftChars="0" w:firstLine="480" w:firstLineChars="2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采购项目名称：</w:t>
      </w:r>
      <w:r>
        <w:rPr>
          <w:rFonts w:hint="eastAsia" w:ascii="宋体" w:hAnsi="宋体" w:eastAsia="宋体" w:cs="宋体"/>
          <w:color w:val="auto"/>
          <w:sz w:val="24"/>
          <w:szCs w:val="24"/>
          <w:highlight w:val="none"/>
          <w:u w:val="single"/>
        </w:rPr>
        <w:t>濉溪县中医医院医共体资源共享中心建设工程</w:t>
      </w:r>
    </w:p>
    <w:p w14:paraId="667371CA">
      <w:pPr>
        <w:pStyle w:val="9"/>
        <w:numPr>
          <w:ilvl w:val="255"/>
          <w:numId w:val="0"/>
        </w:numPr>
        <w:tabs>
          <w:tab w:val="left" w:pos="999"/>
        </w:tabs>
        <w:adjustRightInd w:val="0"/>
        <w:snapToGrid w:val="0"/>
        <w:spacing w:after="0"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采购项目编号：</w:t>
      </w:r>
      <w:r>
        <w:rPr>
          <w:rFonts w:hint="eastAsia" w:ascii="宋体" w:hAnsi="宋体" w:eastAsia="宋体" w:cs="宋体"/>
          <w:color w:val="auto"/>
          <w:sz w:val="24"/>
          <w:szCs w:val="24"/>
          <w:highlight w:val="none"/>
          <w:u w:val="single"/>
        </w:rPr>
        <w:t xml:space="preserve"> SXCG </w:t>
      </w:r>
    </w:p>
    <w:p w14:paraId="75E140F9">
      <w:pPr>
        <w:pStyle w:val="9"/>
        <w:adjustRightInd w:val="0"/>
        <w:snapToGrid w:val="0"/>
        <w:spacing w:after="0" w:line="360" w:lineRule="auto"/>
        <w:ind w:left="0" w:leftChars="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（2）采购计划编号：</w:t>
      </w:r>
      <w:r>
        <w:rPr>
          <w:rFonts w:hint="eastAsia" w:ascii="宋体" w:hAnsi="宋体" w:eastAsia="宋体" w:cs="宋体"/>
          <w:color w:val="auto"/>
          <w:sz w:val="24"/>
          <w:szCs w:val="24"/>
          <w:highlight w:val="none"/>
          <w:u w:val="single"/>
        </w:rPr>
        <w:t xml:space="preserve"> / </w:t>
      </w:r>
      <w:r>
        <w:rPr>
          <w:rFonts w:hint="eastAsia" w:ascii="宋体" w:hAnsi="宋体" w:eastAsia="宋体" w:cs="宋体"/>
          <w:color w:val="auto"/>
          <w:sz w:val="24"/>
          <w:szCs w:val="24"/>
          <w:highlight w:val="none"/>
        </w:rPr>
        <w:t xml:space="preserve"> </w:t>
      </w:r>
    </w:p>
    <w:p w14:paraId="5D86948E">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（3）项目内容：</w:t>
      </w:r>
    </w:p>
    <w:p w14:paraId="0EFDEE6B">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采购标的及数量（台/套/个/架/组等）：</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p>
    <w:p w14:paraId="3EB048C0">
      <w:pPr>
        <w:numPr>
          <w:ilvl w:val="255"/>
          <w:numId w:val="0"/>
        </w:num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品牌：</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规格型号：</w:t>
      </w:r>
      <w:r>
        <w:rPr>
          <w:rFonts w:hint="eastAsia" w:ascii="宋体" w:hAnsi="宋体" w:eastAsia="宋体" w:cs="宋体"/>
          <w:color w:val="auto"/>
          <w:sz w:val="24"/>
          <w:szCs w:val="24"/>
          <w:highlight w:val="none"/>
          <w:u w:val="single"/>
        </w:rPr>
        <w:t xml:space="preserve">               </w:t>
      </w:r>
    </w:p>
    <w:p w14:paraId="0BE3CB57">
      <w:pPr>
        <w:adjustRightInd w:val="0"/>
        <w:snapToGrid w:val="0"/>
        <w:spacing w:line="360" w:lineRule="auto"/>
        <w:ind w:firstLine="1080" w:firstLineChars="45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采购标的的技术要求、商务要求具体见附件。</w:t>
      </w:r>
    </w:p>
    <w:p w14:paraId="3CFC7710">
      <w:pPr>
        <w:numPr>
          <w:ilvl w:val="255"/>
          <w:numId w:val="0"/>
        </w:numPr>
        <w:adjustRightInd w:val="0"/>
        <w:snapToGrid w:val="0"/>
        <w:spacing w:line="360" w:lineRule="auto"/>
        <w:ind w:firstLine="1080" w:firstLineChars="4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①涉及信息类产品，请填写该产品关键部件的品牌、型号：</w:t>
      </w:r>
    </w:p>
    <w:p w14:paraId="3C706BF7">
      <w:pPr>
        <w:numPr>
          <w:ilvl w:val="255"/>
          <w:numId w:val="0"/>
        </w:numPr>
        <w:adjustRightInd w:val="0"/>
        <w:snapToGrid w:val="0"/>
        <w:spacing w:line="360" w:lineRule="auto"/>
        <w:ind w:firstLine="480" w:firstLineChars="200"/>
        <w:rPr>
          <w:rFonts w:hint="eastAsia" w:ascii="宋体" w:hAnsi="宋体" w:eastAsia="宋体" w:cs="宋体"/>
          <w:color w:val="auto"/>
          <w:kern w:val="0"/>
          <w:sz w:val="24"/>
          <w:szCs w:val="24"/>
          <w:highlight w:val="none"/>
          <w:u w:val="single"/>
        </w:rPr>
      </w:pPr>
      <w:r>
        <w:rPr>
          <w:rFonts w:hint="eastAsia" w:ascii="宋体" w:hAnsi="宋体" w:eastAsia="宋体" w:cs="宋体"/>
          <w:color w:val="auto"/>
          <w:sz w:val="24"/>
          <w:szCs w:val="24"/>
          <w:highlight w:val="none"/>
        </w:rPr>
        <w:t xml:space="preserve">     标的名称：</w:t>
      </w:r>
      <w:r>
        <w:rPr>
          <w:rFonts w:hint="eastAsia" w:ascii="宋体" w:hAnsi="宋体" w:eastAsia="宋体" w:cs="宋体"/>
          <w:color w:val="auto"/>
          <w:kern w:val="0"/>
          <w:sz w:val="24"/>
          <w:szCs w:val="24"/>
          <w:highlight w:val="none"/>
          <w:u w:val="single"/>
        </w:rPr>
        <w:t xml:space="preserve">                         </w:t>
      </w:r>
    </w:p>
    <w:p w14:paraId="3FEAC3B0">
      <w:pPr>
        <w:numPr>
          <w:ilvl w:val="255"/>
          <w:numId w:val="0"/>
        </w:num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关键部件：</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 xml:space="preserve"> </w:t>
      </w:r>
      <w:r>
        <w:rPr>
          <w:rFonts w:hint="eastAsia" w:ascii="宋体" w:hAnsi="宋体" w:eastAsia="宋体" w:cs="宋体"/>
          <w:color w:val="auto"/>
          <w:sz w:val="24"/>
          <w:szCs w:val="24"/>
          <w:highlight w:val="none"/>
        </w:rPr>
        <w:t>品牌：</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型号：</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p>
    <w:p w14:paraId="2C62126D">
      <w:pPr>
        <w:pStyle w:val="62"/>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color w:val="auto"/>
          <w:kern w:val="2"/>
          <w:sz w:val="24"/>
          <w:szCs w:val="24"/>
          <w:highlight w:val="none"/>
        </w:rPr>
        <w:t>关键部件</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品牌：</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型号：</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p>
    <w:p w14:paraId="4969B11F">
      <w:pPr>
        <w:pStyle w:val="62"/>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关键部件：</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品牌：</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型号：</w:t>
      </w:r>
      <w:r>
        <w:rPr>
          <w:rFonts w:hint="eastAsia" w:ascii="宋体" w:hAnsi="宋体" w:eastAsia="宋体" w:cs="宋体"/>
          <w:color w:val="auto"/>
          <w:sz w:val="24"/>
          <w:szCs w:val="24"/>
          <w:highlight w:val="none"/>
          <w:u w:val="single"/>
        </w:rPr>
        <w:t xml:space="preserve">       </w:t>
      </w:r>
    </w:p>
    <w:p w14:paraId="76BCBDB6">
      <w:pPr>
        <w:pStyle w:val="62"/>
        <w:numPr>
          <w:ilvl w:val="255"/>
          <w:numId w:val="0"/>
        </w:numPr>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（注：关键部件是指财政部会同有关部门发布的政府采购需求标准规定的需要通过国家有关部门指定的测评机构开展的安全可靠测评的软硬件，如CPU芯片、操作系统、数据库等。）</w:t>
      </w:r>
    </w:p>
    <w:p w14:paraId="41C6EBF3">
      <w:pPr>
        <w:pStyle w:val="62"/>
        <w:numPr>
          <w:ilvl w:val="255"/>
          <w:numId w:val="0"/>
        </w:numPr>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②涉及车辆采购，请填写是否属于新能源汽车：</w:t>
      </w:r>
    </w:p>
    <w:p w14:paraId="0756946F">
      <w:pPr>
        <w:pStyle w:val="62"/>
        <w:numPr>
          <w:ilvl w:val="255"/>
          <w:numId w:val="0"/>
        </w:numPr>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rPr>
        <w:sym w:font="Wingdings" w:char="00A8"/>
      </w:r>
      <w:r>
        <w:rPr>
          <w:rFonts w:hint="eastAsia" w:ascii="宋体" w:hAnsi="宋体" w:eastAsia="宋体" w:cs="宋体"/>
          <w:color w:val="auto"/>
          <w:sz w:val="24"/>
          <w:szCs w:val="24"/>
          <w:highlight w:val="none"/>
        </w:rPr>
        <w:t>是，《政府采购品目分类目录》底级品目名称：</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数量：</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金额：</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p>
    <w:p w14:paraId="1F8920EC">
      <w:pPr>
        <w:pStyle w:val="62"/>
        <w:numPr>
          <w:ilvl w:val="255"/>
          <w:numId w:val="0"/>
        </w:numPr>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√否</w:t>
      </w:r>
    </w:p>
    <w:p w14:paraId="6AC0B2DB">
      <w:pPr>
        <w:pStyle w:val="62"/>
        <w:numPr>
          <w:ilvl w:val="255"/>
          <w:numId w:val="0"/>
        </w:numPr>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（4）政府采购组织形式：</w:t>
      </w:r>
      <w:r>
        <w:rPr>
          <w:rFonts w:hint="eastAsia" w:ascii="宋体" w:hAnsi="宋体" w:eastAsia="宋体" w:cs="宋体"/>
          <w:color w:val="auto"/>
          <w:sz w:val="24"/>
          <w:szCs w:val="24"/>
          <w:highlight w:val="none"/>
        </w:rPr>
        <w:sym w:font="Wingdings" w:char="00A8"/>
      </w:r>
      <w:r>
        <w:rPr>
          <w:rFonts w:hint="eastAsia" w:ascii="宋体" w:hAnsi="宋体" w:eastAsia="宋体" w:cs="宋体"/>
          <w:color w:val="auto"/>
          <w:sz w:val="24"/>
          <w:szCs w:val="24"/>
          <w:highlight w:val="none"/>
        </w:rPr>
        <w:t xml:space="preserve">政府集中采购  </w:t>
      </w:r>
      <w:r>
        <w:rPr>
          <w:rFonts w:hint="eastAsia" w:ascii="宋体" w:hAnsi="宋体" w:eastAsia="宋体" w:cs="宋体"/>
          <w:color w:val="auto"/>
          <w:sz w:val="24"/>
          <w:szCs w:val="24"/>
          <w:highlight w:val="none"/>
        </w:rPr>
        <w:sym w:font="Wingdings" w:char="00A8"/>
      </w:r>
      <w:r>
        <w:rPr>
          <w:rFonts w:hint="eastAsia" w:ascii="宋体" w:hAnsi="宋体" w:eastAsia="宋体" w:cs="宋体"/>
          <w:color w:val="auto"/>
          <w:sz w:val="24"/>
          <w:szCs w:val="24"/>
          <w:highlight w:val="none"/>
        </w:rPr>
        <w:t xml:space="preserve">部门集中采购  </w:t>
      </w:r>
      <w:r>
        <w:rPr>
          <w:rFonts w:hint="eastAsia" w:ascii="宋体" w:hAnsi="宋体" w:eastAsia="宋体" w:cs="宋体"/>
          <w:iCs/>
          <w:color w:val="auto"/>
          <w:sz w:val="24"/>
          <w:szCs w:val="24"/>
          <w:highlight w:val="none"/>
        </w:rPr>
        <w:t>√</w:t>
      </w:r>
      <w:r>
        <w:rPr>
          <w:rFonts w:hint="eastAsia" w:ascii="宋体" w:hAnsi="宋体" w:eastAsia="宋体" w:cs="宋体"/>
          <w:color w:val="auto"/>
          <w:sz w:val="24"/>
          <w:szCs w:val="24"/>
          <w:highlight w:val="none"/>
        </w:rPr>
        <w:t>分散采购</w:t>
      </w:r>
    </w:p>
    <w:p w14:paraId="7D9A7371">
      <w:pPr>
        <w:pStyle w:val="62"/>
        <w:numPr>
          <w:ilvl w:val="255"/>
          <w:numId w:val="0"/>
        </w:numPr>
        <w:snapToGrid w:val="0"/>
        <w:spacing w:line="360" w:lineRule="auto"/>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（5）政府采购方式：√公开招标 </w:t>
      </w:r>
      <w:r>
        <w:rPr>
          <w:rFonts w:hint="eastAsia" w:ascii="宋体" w:hAnsi="宋体" w:eastAsia="宋体" w:cs="宋体"/>
          <w:color w:val="auto"/>
          <w:sz w:val="24"/>
          <w:szCs w:val="24"/>
          <w:highlight w:val="none"/>
        </w:rPr>
        <w:sym w:font="Wingdings" w:char="00A8"/>
      </w:r>
      <w:r>
        <w:rPr>
          <w:rFonts w:hint="eastAsia" w:ascii="宋体" w:hAnsi="宋体" w:eastAsia="宋体" w:cs="宋体"/>
          <w:color w:val="auto"/>
          <w:sz w:val="24"/>
          <w:szCs w:val="24"/>
          <w:highlight w:val="none"/>
        </w:rPr>
        <w:t xml:space="preserve">邀请招标 </w:t>
      </w:r>
      <w:r>
        <w:rPr>
          <w:rFonts w:hint="eastAsia" w:ascii="宋体" w:hAnsi="宋体" w:eastAsia="宋体" w:cs="宋体"/>
          <w:color w:val="auto"/>
          <w:sz w:val="24"/>
          <w:szCs w:val="24"/>
          <w:highlight w:val="none"/>
        </w:rPr>
        <w:sym w:font="Wingdings" w:char="00A8"/>
      </w:r>
      <w:r>
        <w:rPr>
          <w:rFonts w:hint="eastAsia" w:ascii="宋体" w:hAnsi="宋体" w:eastAsia="宋体" w:cs="宋体"/>
          <w:color w:val="auto"/>
          <w:sz w:val="24"/>
          <w:szCs w:val="24"/>
          <w:highlight w:val="none"/>
        </w:rPr>
        <w:t xml:space="preserve">竞争性谈判 </w:t>
      </w:r>
      <w:r>
        <w:rPr>
          <w:rFonts w:hint="eastAsia" w:ascii="宋体" w:hAnsi="宋体" w:eastAsia="宋体" w:cs="宋体"/>
          <w:color w:val="auto"/>
          <w:sz w:val="24"/>
          <w:szCs w:val="24"/>
          <w:highlight w:val="none"/>
        </w:rPr>
        <w:sym w:font="Wingdings" w:char="00A8"/>
      </w:r>
      <w:r>
        <w:rPr>
          <w:rFonts w:hint="eastAsia" w:ascii="宋体" w:hAnsi="宋体" w:eastAsia="宋体" w:cs="宋体"/>
          <w:color w:val="auto"/>
          <w:sz w:val="24"/>
          <w:szCs w:val="24"/>
          <w:highlight w:val="none"/>
        </w:rPr>
        <w:t>竞争性磋商</w:t>
      </w:r>
    </w:p>
    <w:p w14:paraId="294BA7DE">
      <w:pPr>
        <w:pStyle w:val="62"/>
        <w:numPr>
          <w:ilvl w:val="255"/>
          <w:numId w:val="0"/>
        </w:numPr>
        <w:snapToGrid w:val="0"/>
        <w:spacing w:line="360" w:lineRule="auto"/>
        <w:ind w:firstLine="42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rPr>
        <w:sym w:font="Wingdings" w:char="00A8"/>
      </w:r>
      <w:r>
        <w:rPr>
          <w:rFonts w:hint="eastAsia" w:ascii="宋体" w:hAnsi="宋体" w:eastAsia="宋体" w:cs="宋体"/>
          <w:color w:val="auto"/>
          <w:sz w:val="24"/>
          <w:szCs w:val="24"/>
          <w:highlight w:val="none"/>
        </w:rPr>
        <w:t xml:space="preserve">询价 </w:t>
      </w:r>
      <w:r>
        <w:rPr>
          <w:rFonts w:hint="eastAsia" w:ascii="宋体" w:hAnsi="宋体" w:eastAsia="宋体" w:cs="宋体"/>
          <w:color w:val="auto"/>
          <w:sz w:val="24"/>
          <w:szCs w:val="24"/>
          <w:highlight w:val="none"/>
        </w:rPr>
        <w:sym w:font="Wingdings" w:char="00A8"/>
      </w:r>
      <w:r>
        <w:rPr>
          <w:rFonts w:hint="eastAsia" w:ascii="宋体" w:hAnsi="宋体" w:eastAsia="宋体" w:cs="宋体"/>
          <w:color w:val="auto"/>
          <w:sz w:val="24"/>
          <w:szCs w:val="24"/>
          <w:highlight w:val="none"/>
        </w:rPr>
        <w:t xml:space="preserve">单一来源 </w:t>
      </w:r>
      <w:r>
        <w:rPr>
          <w:rFonts w:hint="eastAsia" w:ascii="宋体" w:hAnsi="宋体" w:eastAsia="宋体" w:cs="宋体"/>
          <w:color w:val="auto"/>
          <w:sz w:val="24"/>
          <w:szCs w:val="24"/>
          <w:highlight w:val="none"/>
        </w:rPr>
        <w:sym w:font="Wingdings" w:char="00A8"/>
      </w:r>
      <w:r>
        <w:rPr>
          <w:rFonts w:hint="eastAsia" w:ascii="宋体" w:hAnsi="宋体" w:eastAsia="宋体" w:cs="宋体"/>
          <w:color w:val="auto"/>
          <w:sz w:val="24"/>
          <w:szCs w:val="24"/>
          <w:highlight w:val="none"/>
        </w:rPr>
        <w:t xml:space="preserve">框架协议 </w:t>
      </w:r>
      <w:r>
        <w:rPr>
          <w:rFonts w:hint="eastAsia" w:ascii="宋体" w:hAnsi="宋体" w:eastAsia="宋体" w:cs="宋体"/>
          <w:color w:val="auto"/>
          <w:sz w:val="24"/>
          <w:szCs w:val="24"/>
          <w:highlight w:val="none"/>
        </w:rPr>
        <w:sym w:font="Wingdings" w:char="00A8"/>
      </w:r>
      <w:r>
        <w:rPr>
          <w:rFonts w:hint="eastAsia" w:ascii="宋体" w:hAnsi="宋体" w:eastAsia="宋体" w:cs="宋体"/>
          <w:color w:val="auto"/>
          <w:sz w:val="24"/>
          <w:szCs w:val="24"/>
          <w:highlight w:val="none"/>
        </w:rPr>
        <w:t>其他：</w:t>
      </w:r>
      <w:r>
        <w:rPr>
          <w:rFonts w:hint="eastAsia" w:ascii="宋体" w:hAnsi="宋体" w:eastAsia="宋体" w:cs="宋体"/>
          <w:color w:val="auto"/>
          <w:sz w:val="24"/>
          <w:szCs w:val="24"/>
          <w:highlight w:val="none"/>
          <w:u w:val="single"/>
        </w:rPr>
        <w:t xml:space="preserve">          </w:t>
      </w:r>
    </w:p>
    <w:p w14:paraId="5673C631">
      <w:pPr>
        <w:pStyle w:val="62"/>
        <w:numPr>
          <w:ilvl w:val="255"/>
          <w:numId w:val="0"/>
        </w:numPr>
        <w:snapToGrid w:val="0"/>
        <w:spacing w:line="360" w:lineRule="auto"/>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（注：在框架协议采购的第二阶段，可选择使用该合同文本）</w:t>
      </w:r>
    </w:p>
    <w:p w14:paraId="328717C6">
      <w:pPr>
        <w:pStyle w:val="62"/>
        <w:numPr>
          <w:ilvl w:val="255"/>
          <w:numId w:val="0"/>
        </w:numPr>
        <w:snapToGrid w:val="0"/>
        <w:spacing w:line="360" w:lineRule="auto"/>
        <w:ind w:firstLine="240" w:firstLineChars="100"/>
        <w:rPr>
          <w:rFonts w:hint="eastAsia" w:ascii="宋体" w:hAnsi="宋体" w:eastAsia="宋体" w:cs="宋体"/>
          <w:color w:val="auto"/>
          <w:kern w:val="2"/>
          <w:sz w:val="24"/>
          <w:szCs w:val="24"/>
          <w:highlight w:val="none"/>
        </w:rPr>
      </w:pPr>
      <w:r>
        <w:rPr>
          <w:rFonts w:hint="eastAsia" w:ascii="宋体" w:hAnsi="宋体" w:eastAsia="宋体" w:cs="宋体"/>
          <w:color w:val="auto"/>
          <w:sz w:val="24"/>
          <w:szCs w:val="24"/>
          <w:highlight w:val="none"/>
        </w:rPr>
        <w:t xml:space="preserve"> （6）</w:t>
      </w:r>
      <w:r>
        <w:rPr>
          <w:rFonts w:hint="eastAsia" w:ascii="宋体" w:hAnsi="宋体" w:eastAsia="宋体" w:cs="宋体"/>
          <w:color w:val="auto"/>
          <w:kern w:val="2"/>
          <w:sz w:val="24"/>
          <w:szCs w:val="24"/>
          <w:highlight w:val="none"/>
        </w:rPr>
        <w:t>中标（成交）采购标的制造商是否为中小企业：</w:t>
      </w:r>
      <w:r>
        <w:rPr>
          <w:rFonts w:hint="eastAsia" w:ascii="宋体" w:hAnsi="宋体" w:eastAsia="宋体" w:cs="宋体"/>
          <w:color w:val="auto"/>
          <w:kern w:val="2"/>
          <w:sz w:val="24"/>
          <w:szCs w:val="24"/>
          <w:highlight w:val="none"/>
        </w:rPr>
        <w:sym w:font="Wingdings" w:char="00A8"/>
      </w:r>
      <w:r>
        <w:rPr>
          <w:rFonts w:hint="eastAsia" w:ascii="宋体" w:hAnsi="宋体" w:eastAsia="宋体" w:cs="宋体"/>
          <w:color w:val="auto"/>
          <w:kern w:val="2"/>
          <w:sz w:val="24"/>
          <w:szCs w:val="24"/>
          <w:highlight w:val="none"/>
        </w:rPr>
        <w:t xml:space="preserve">是      </w:t>
      </w:r>
      <w:r>
        <w:rPr>
          <w:rFonts w:hint="eastAsia" w:ascii="宋体" w:hAnsi="宋体" w:eastAsia="宋体" w:cs="宋体"/>
          <w:color w:val="auto"/>
          <w:kern w:val="2"/>
          <w:sz w:val="24"/>
          <w:szCs w:val="24"/>
          <w:highlight w:val="none"/>
        </w:rPr>
        <w:sym w:font="Wingdings" w:char="00A8"/>
      </w:r>
      <w:r>
        <w:rPr>
          <w:rFonts w:hint="eastAsia" w:ascii="宋体" w:hAnsi="宋体" w:eastAsia="宋体" w:cs="宋体"/>
          <w:color w:val="auto"/>
          <w:kern w:val="2"/>
          <w:sz w:val="24"/>
          <w:szCs w:val="24"/>
          <w:highlight w:val="none"/>
        </w:rPr>
        <w:t>否</w:t>
      </w:r>
    </w:p>
    <w:p w14:paraId="03A7D5D5">
      <w:pPr>
        <w:numPr>
          <w:ilvl w:val="255"/>
          <w:numId w:val="0"/>
        </w:numPr>
        <w:adjustRightInd w:val="0"/>
        <w:snapToGrid w:val="0"/>
        <w:spacing w:line="360" w:lineRule="auto"/>
        <w:rPr>
          <w:rFonts w:hint="eastAsia" w:ascii="宋体" w:hAnsi="宋体" w:eastAsia="宋体" w:cs="宋体"/>
          <w:iCs/>
          <w:color w:val="auto"/>
          <w:sz w:val="24"/>
          <w:szCs w:val="24"/>
          <w:highlight w:val="none"/>
        </w:rPr>
      </w:pPr>
      <w:r>
        <w:rPr>
          <w:rFonts w:hint="eastAsia" w:ascii="宋体" w:hAnsi="宋体" w:eastAsia="宋体" w:cs="宋体"/>
          <w:color w:val="auto"/>
          <w:sz w:val="24"/>
          <w:szCs w:val="24"/>
          <w:highlight w:val="none"/>
        </w:rPr>
        <w:t xml:space="preserve">       本合同是否为专门面向中小企业的采购合同（中小企业预留合同）：</w:t>
      </w:r>
      <w:r>
        <w:rPr>
          <w:rFonts w:hint="eastAsia" w:ascii="宋体" w:hAnsi="宋体" w:eastAsia="宋体" w:cs="宋体"/>
          <w:iCs/>
          <w:color w:val="auto"/>
          <w:sz w:val="24"/>
          <w:szCs w:val="24"/>
          <w:highlight w:val="none"/>
        </w:rPr>
        <w:sym w:font="Wingdings" w:char="00A8"/>
      </w:r>
      <w:r>
        <w:rPr>
          <w:rFonts w:hint="eastAsia" w:ascii="宋体" w:hAnsi="宋体" w:eastAsia="宋体" w:cs="宋体"/>
          <w:iCs/>
          <w:color w:val="auto"/>
          <w:sz w:val="24"/>
          <w:szCs w:val="24"/>
          <w:highlight w:val="none"/>
        </w:rPr>
        <w:t>是  √否</w:t>
      </w:r>
    </w:p>
    <w:p w14:paraId="58C30A1E">
      <w:pPr>
        <w:numPr>
          <w:ilvl w:val="255"/>
          <w:numId w:val="0"/>
        </w:numPr>
        <w:adjustRightInd w:val="0"/>
        <w:snapToGrid w:val="0"/>
        <w:spacing w:line="360" w:lineRule="auto"/>
        <w:rPr>
          <w:rFonts w:hint="eastAsia" w:ascii="宋体" w:hAnsi="宋体" w:eastAsia="宋体" w:cs="宋体"/>
          <w:iCs/>
          <w:color w:val="auto"/>
          <w:sz w:val="24"/>
          <w:szCs w:val="24"/>
          <w:highlight w:val="none"/>
        </w:rPr>
      </w:pPr>
      <w:r>
        <w:rPr>
          <w:rFonts w:hint="eastAsia" w:ascii="宋体" w:hAnsi="宋体" w:eastAsia="宋体" w:cs="宋体"/>
          <w:color w:val="auto"/>
          <w:sz w:val="24"/>
          <w:szCs w:val="24"/>
          <w:highlight w:val="none"/>
        </w:rPr>
        <w:t xml:space="preserve">       若本项目不专门面向中小企业采购，是否给予小微企业评审优惠：√</w:t>
      </w:r>
      <w:r>
        <w:rPr>
          <w:rFonts w:hint="eastAsia" w:ascii="宋体" w:hAnsi="宋体" w:eastAsia="宋体" w:cs="宋体"/>
          <w:iCs/>
          <w:color w:val="auto"/>
          <w:sz w:val="24"/>
          <w:szCs w:val="24"/>
          <w:highlight w:val="none"/>
        </w:rPr>
        <w:t xml:space="preserve">是   </w:t>
      </w:r>
      <w:r>
        <w:rPr>
          <w:rFonts w:hint="eastAsia" w:ascii="宋体" w:hAnsi="宋体" w:eastAsia="宋体" w:cs="宋体"/>
          <w:iCs/>
          <w:color w:val="auto"/>
          <w:sz w:val="24"/>
          <w:szCs w:val="24"/>
          <w:highlight w:val="none"/>
        </w:rPr>
        <w:sym w:font="Wingdings" w:char="00A8"/>
      </w:r>
      <w:r>
        <w:rPr>
          <w:rFonts w:hint="eastAsia" w:ascii="宋体" w:hAnsi="宋体" w:eastAsia="宋体" w:cs="宋体"/>
          <w:iCs/>
          <w:color w:val="auto"/>
          <w:sz w:val="24"/>
          <w:szCs w:val="24"/>
          <w:highlight w:val="none"/>
        </w:rPr>
        <w:t>否</w:t>
      </w:r>
    </w:p>
    <w:p w14:paraId="4D681483">
      <w:pPr>
        <w:numPr>
          <w:ilvl w:val="255"/>
          <w:numId w:val="0"/>
        </w:numPr>
        <w:adjustRightInd w:val="0"/>
        <w:snapToGrid w:val="0"/>
        <w:spacing w:line="360" w:lineRule="auto"/>
        <w:rPr>
          <w:rFonts w:hint="eastAsia" w:ascii="宋体" w:hAnsi="宋体" w:eastAsia="宋体" w:cs="宋体"/>
          <w:iCs/>
          <w:color w:val="auto"/>
          <w:sz w:val="24"/>
          <w:szCs w:val="24"/>
          <w:highlight w:val="none"/>
        </w:rPr>
      </w:pPr>
      <w:r>
        <w:rPr>
          <w:rFonts w:hint="eastAsia" w:ascii="宋体" w:hAnsi="宋体" w:eastAsia="宋体" w:cs="宋体"/>
          <w:color w:val="auto"/>
          <w:sz w:val="24"/>
          <w:szCs w:val="24"/>
          <w:highlight w:val="none"/>
        </w:rPr>
        <w:t xml:space="preserve">       中标（成交）采购标的制造商是否为残疾人福利性单位：</w:t>
      </w:r>
      <w:r>
        <w:rPr>
          <w:rFonts w:hint="eastAsia" w:ascii="宋体" w:hAnsi="宋体" w:eastAsia="宋体" w:cs="宋体"/>
          <w:iCs/>
          <w:color w:val="auto"/>
          <w:sz w:val="24"/>
          <w:szCs w:val="24"/>
          <w:highlight w:val="none"/>
        </w:rPr>
        <w:sym w:font="Wingdings" w:char="00A8"/>
      </w:r>
      <w:r>
        <w:rPr>
          <w:rFonts w:hint="eastAsia" w:ascii="宋体" w:hAnsi="宋体" w:eastAsia="宋体" w:cs="宋体"/>
          <w:iCs/>
          <w:color w:val="auto"/>
          <w:sz w:val="24"/>
          <w:szCs w:val="24"/>
          <w:highlight w:val="none"/>
        </w:rPr>
        <w:t xml:space="preserve">是   </w:t>
      </w:r>
      <w:r>
        <w:rPr>
          <w:rFonts w:hint="eastAsia" w:ascii="宋体" w:hAnsi="宋体" w:eastAsia="宋体" w:cs="宋体"/>
          <w:iCs/>
          <w:color w:val="auto"/>
          <w:sz w:val="24"/>
          <w:szCs w:val="24"/>
          <w:highlight w:val="none"/>
        </w:rPr>
        <w:sym w:font="Wingdings" w:char="00A8"/>
      </w:r>
      <w:r>
        <w:rPr>
          <w:rFonts w:hint="eastAsia" w:ascii="宋体" w:hAnsi="宋体" w:eastAsia="宋体" w:cs="宋体"/>
          <w:iCs/>
          <w:color w:val="auto"/>
          <w:sz w:val="24"/>
          <w:szCs w:val="24"/>
          <w:highlight w:val="none"/>
        </w:rPr>
        <w:t>否</w:t>
      </w:r>
    </w:p>
    <w:p w14:paraId="2CE7C9D8">
      <w:pPr>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中标（成交）采购标的制造商是否为监狱企业：</w:t>
      </w:r>
      <w:r>
        <w:rPr>
          <w:rFonts w:hint="eastAsia" w:ascii="宋体" w:hAnsi="宋体" w:eastAsia="宋体" w:cs="宋体"/>
          <w:iCs/>
          <w:color w:val="auto"/>
          <w:sz w:val="24"/>
          <w:szCs w:val="24"/>
          <w:highlight w:val="none"/>
        </w:rPr>
        <w:sym w:font="Wingdings" w:char="00A8"/>
      </w:r>
      <w:r>
        <w:rPr>
          <w:rFonts w:hint="eastAsia" w:ascii="宋体" w:hAnsi="宋体" w:eastAsia="宋体" w:cs="宋体"/>
          <w:iCs/>
          <w:color w:val="auto"/>
          <w:sz w:val="24"/>
          <w:szCs w:val="24"/>
          <w:highlight w:val="none"/>
        </w:rPr>
        <w:t xml:space="preserve">是       </w:t>
      </w:r>
      <w:r>
        <w:rPr>
          <w:rFonts w:hint="eastAsia" w:ascii="宋体" w:hAnsi="宋体" w:eastAsia="宋体" w:cs="宋体"/>
          <w:iCs/>
          <w:color w:val="auto"/>
          <w:sz w:val="24"/>
          <w:szCs w:val="24"/>
          <w:highlight w:val="none"/>
        </w:rPr>
        <w:sym w:font="Wingdings" w:char="00A8"/>
      </w:r>
      <w:r>
        <w:rPr>
          <w:rFonts w:hint="eastAsia" w:ascii="宋体" w:hAnsi="宋体" w:eastAsia="宋体" w:cs="宋体"/>
          <w:iCs/>
          <w:color w:val="auto"/>
          <w:sz w:val="24"/>
          <w:szCs w:val="24"/>
          <w:highlight w:val="none"/>
        </w:rPr>
        <w:t>否</w:t>
      </w:r>
    </w:p>
    <w:p w14:paraId="53373EA8">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（7）合同是否分包：</w:t>
      </w:r>
      <w:r>
        <w:rPr>
          <w:rFonts w:hint="eastAsia" w:ascii="宋体" w:hAnsi="宋体" w:eastAsia="宋体" w:cs="宋体"/>
          <w:iCs/>
          <w:color w:val="auto"/>
          <w:sz w:val="24"/>
          <w:szCs w:val="24"/>
          <w:highlight w:val="none"/>
        </w:rPr>
        <w:sym w:font="Wingdings" w:char="00A8"/>
      </w:r>
      <w:r>
        <w:rPr>
          <w:rFonts w:hint="eastAsia" w:ascii="宋体" w:hAnsi="宋体" w:eastAsia="宋体" w:cs="宋体"/>
          <w:iCs/>
          <w:color w:val="auto"/>
          <w:sz w:val="24"/>
          <w:szCs w:val="24"/>
          <w:highlight w:val="none"/>
        </w:rPr>
        <w:t xml:space="preserve">是       </w:t>
      </w:r>
      <w:r>
        <w:rPr>
          <w:rFonts w:hint="eastAsia" w:ascii="宋体" w:hAnsi="宋体" w:eastAsia="宋体" w:cs="宋体"/>
          <w:color w:val="auto"/>
          <w:sz w:val="24"/>
          <w:szCs w:val="24"/>
          <w:highlight w:val="none"/>
        </w:rPr>
        <w:t>√</w:t>
      </w:r>
      <w:r>
        <w:rPr>
          <w:rFonts w:hint="eastAsia" w:ascii="宋体" w:hAnsi="宋体" w:eastAsia="宋体" w:cs="宋体"/>
          <w:iCs/>
          <w:color w:val="auto"/>
          <w:sz w:val="24"/>
          <w:szCs w:val="24"/>
          <w:highlight w:val="none"/>
        </w:rPr>
        <w:t>否</w:t>
      </w:r>
    </w:p>
    <w:p w14:paraId="096B8F0C">
      <w:pPr>
        <w:adjustRightInd w:val="0"/>
        <w:snapToGrid w:val="0"/>
        <w:spacing w:line="360" w:lineRule="auto"/>
        <w:ind w:firstLine="960" w:firstLineChars="4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 xml:space="preserve"> 分包主要内容：</w:t>
      </w:r>
      <w:r>
        <w:rPr>
          <w:rFonts w:hint="eastAsia" w:ascii="宋体" w:hAnsi="宋体" w:eastAsia="宋体" w:cs="宋体"/>
          <w:color w:val="auto"/>
          <w:sz w:val="24"/>
          <w:szCs w:val="24"/>
          <w:highlight w:val="none"/>
          <w:u w:val="single"/>
        </w:rPr>
        <w:t xml:space="preserve">  /  </w:t>
      </w:r>
    </w:p>
    <w:p w14:paraId="7E5B74EE">
      <w:pPr>
        <w:adjustRightInd w:val="0"/>
        <w:snapToGrid w:val="0"/>
        <w:spacing w:line="360" w:lineRule="auto"/>
        <w:ind w:firstLine="960" w:firstLineChars="4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分包供应商/制造商名称（如供应商和制造商不同，请分别填写）：</w:t>
      </w:r>
      <w:r>
        <w:rPr>
          <w:rFonts w:hint="eastAsia" w:ascii="宋体" w:hAnsi="宋体" w:eastAsia="宋体" w:cs="宋体"/>
          <w:color w:val="auto"/>
          <w:sz w:val="24"/>
          <w:szCs w:val="24"/>
          <w:highlight w:val="none"/>
          <w:u w:val="single"/>
        </w:rPr>
        <w:t xml:space="preserve"> / </w:t>
      </w:r>
    </w:p>
    <w:p w14:paraId="15A1C9CC">
      <w:pPr>
        <w:adjustRightInd w:val="0"/>
        <w:snapToGrid w:val="0"/>
        <w:spacing w:line="360" w:lineRule="auto"/>
        <w:ind w:firstLine="960" w:firstLineChars="4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分包供应商/制造商类型（如果供应商和制造商不同，只填写制造商类型）：</w:t>
      </w:r>
    </w:p>
    <w:p w14:paraId="7AC749FC">
      <w:pPr>
        <w:adjustRightInd w:val="0"/>
        <w:snapToGrid w:val="0"/>
        <w:spacing w:line="360" w:lineRule="auto"/>
        <w:ind w:firstLine="960" w:firstLineChars="400"/>
        <w:rPr>
          <w:rFonts w:hint="eastAsia" w:ascii="宋体" w:hAnsi="宋体" w:eastAsia="宋体" w:cs="宋体"/>
          <w:iCs/>
          <w:color w:val="auto"/>
          <w:sz w:val="24"/>
          <w:szCs w:val="24"/>
          <w:highlight w:val="none"/>
        </w:rPr>
      </w:pPr>
      <w:r>
        <w:rPr>
          <w:rFonts w:hint="eastAsia" w:ascii="宋体" w:hAnsi="宋体" w:eastAsia="宋体" w:cs="宋体"/>
          <w:iCs/>
          <w:color w:val="auto"/>
          <w:sz w:val="24"/>
          <w:szCs w:val="24"/>
          <w:highlight w:val="none"/>
        </w:rPr>
        <w:t xml:space="preserve"> </w:t>
      </w:r>
      <w:r>
        <w:rPr>
          <w:rFonts w:hint="eastAsia" w:ascii="宋体" w:hAnsi="宋体" w:eastAsia="宋体" w:cs="宋体"/>
          <w:iCs/>
          <w:color w:val="auto"/>
          <w:sz w:val="24"/>
          <w:szCs w:val="24"/>
          <w:highlight w:val="none"/>
        </w:rPr>
        <w:sym w:font="Wingdings" w:char="00A8"/>
      </w:r>
      <w:r>
        <w:rPr>
          <w:rFonts w:hint="eastAsia" w:ascii="宋体" w:hAnsi="宋体" w:eastAsia="宋体" w:cs="宋体"/>
          <w:iCs/>
          <w:color w:val="auto"/>
          <w:sz w:val="24"/>
          <w:szCs w:val="24"/>
          <w:highlight w:val="none"/>
        </w:rPr>
        <w:t xml:space="preserve">大型企业  </w:t>
      </w:r>
      <w:r>
        <w:rPr>
          <w:rFonts w:hint="eastAsia" w:ascii="宋体" w:hAnsi="宋体" w:eastAsia="宋体" w:cs="宋体"/>
          <w:iCs/>
          <w:color w:val="auto"/>
          <w:sz w:val="24"/>
          <w:szCs w:val="24"/>
          <w:highlight w:val="none"/>
        </w:rPr>
        <w:sym w:font="Wingdings" w:char="00A8"/>
      </w:r>
      <w:r>
        <w:rPr>
          <w:rFonts w:hint="eastAsia" w:ascii="宋体" w:hAnsi="宋体" w:eastAsia="宋体" w:cs="宋体"/>
          <w:iCs/>
          <w:color w:val="auto"/>
          <w:sz w:val="24"/>
          <w:szCs w:val="24"/>
          <w:highlight w:val="none"/>
        </w:rPr>
        <w:t xml:space="preserve">中型企业  </w:t>
      </w:r>
      <w:r>
        <w:rPr>
          <w:rFonts w:hint="eastAsia" w:ascii="宋体" w:hAnsi="宋体" w:eastAsia="宋体" w:cs="宋体"/>
          <w:iCs/>
          <w:color w:val="auto"/>
          <w:sz w:val="24"/>
          <w:szCs w:val="24"/>
          <w:highlight w:val="none"/>
        </w:rPr>
        <w:sym w:font="Wingdings" w:char="00A8"/>
      </w:r>
      <w:r>
        <w:rPr>
          <w:rFonts w:hint="eastAsia" w:ascii="宋体" w:hAnsi="宋体" w:eastAsia="宋体" w:cs="宋体"/>
          <w:iCs/>
          <w:color w:val="auto"/>
          <w:sz w:val="24"/>
          <w:szCs w:val="24"/>
          <w:highlight w:val="none"/>
        </w:rPr>
        <w:t xml:space="preserve">小微型企业  </w:t>
      </w:r>
    </w:p>
    <w:p w14:paraId="4A6E2F33">
      <w:pPr>
        <w:adjustRightInd w:val="0"/>
        <w:snapToGrid w:val="0"/>
        <w:spacing w:line="360" w:lineRule="auto"/>
        <w:ind w:firstLine="960" w:firstLineChars="400"/>
        <w:rPr>
          <w:rFonts w:hint="eastAsia" w:ascii="宋体" w:hAnsi="宋体" w:eastAsia="宋体" w:cs="宋体"/>
          <w:color w:val="auto"/>
          <w:sz w:val="24"/>
          <w:szCs w:val="24"/>
          <w:highlight w:val="none"/>
        </w:rPr>
      </w:pPr>
      <w:r>
        <w:rPr>
          <w:rFonts w:hint="eastAsia" w:ascii="宋体" w:hAnsi="宋体" w:eastAsia="宋体" w:cs="宋体"/>
          <w:iCs/>
          <w:color w:val="auto"/>
          <w:sz w:val="24"/>
          <w:szCs w:val="24"/>
          <w:highlight w:val="none"/>
        </w:rPr>
        <w:t xml:space="preserve"> </w:t>
      </w:r>
      <w:r>
        <w:rPr>
          <w:rFonts w:hint="eastAsia" w:ascii="宋体" w:hAnsi="宋体" w:eastAsia="宋体" w:cs="宋体"/>
          <w:iCs/>
          <w:color w:val="auto"/>
          <w:sz w:val="24"/>
          <w:szCs w:val="24"/>
          <w:highlight w:val="none"/>
        </w:rPr>
        <w:sym w:font="Wingdings" w:char="00A8"/>
      </w:r>
      <w:r>
        <w:rPr>
          <w:rFonts w:hint="eastAsia" w:ascii="宋体" w:hAnsi="宋体" w:eastAsia="宋体" w:cs="宋体"/>
          <w:iCs/>
          <w:color w:val="auto"/>
          <w:sz w:val="24"/>
          <w:szCs w:val="24"/>
          <w:highlight w:val="none"/>
        </w:rPr>
        <w:t xml:space="preserve">残疾人福利性单位 </w:t>
      </w:r>
      <w:r>
        <w:rPr>
          <w:rFonts w:hint="eastAsia" w:ascii="宋体" w:hAnsi="宋体" w:eastAsia="宋体" w:cs="宋体"/>
          <w:iCs/>
          <w:color w:val="auto"/>
          <w:sz w:val="24"/>
          <w:szCs w:val="24"/>
          <w:highlight w:val="none"/>
        </w:rPr>
        <w:sym w:font="Wingdings" w:char="00A8"/>
      </w:r>
      <w:r>
        <w:rPr>
          <w:rFonts w:hint="eastAsia" w:ascii="宋体" w:hAnsi="宋体" w:eastAsia="宋体" w:cs="宋体"/>
          <w:iCs/>
          <w:color w:val="auto"/>
          <w:sz w:val="24"/>
          <w:szCs w:val="24"/>
          <w:highlight w:val="none"/>
        </w:rPr>
        <w:t xml:space="preserve">监狱企业 </w:t>
      </w:r>
      <w:r>
        <w:rPr>
          <w:rFonts w:hint="eastAsia" w:ascii="宋体" w:hAnsi="宋体" w:eastAsia="宋体" w:cs="宋体"/>
          <w:iCs/>
          <w:color w:val="auto"/>
          <w:sz w:val="24"/>
          <w:szCs w:val="24"/>
          <w:highlight w:val="none"/>
        </w:rPr>
        <w:sym w:font="Wingdings" w:char="00A8"/>
      </w:r>
      <w:r>
        <w:rPr>
          <w:rFonts w:hint="eastAsia" w:ascii="宋体" w:hAnsi="宋体" w:eastAsia="宋体" w:cs="宋体"/>
          <w:iCs/>
          <w:color w:val="auto"/>
          <w:sz w:val="24"/>
          <w:szCs w:val="24"/>
          <w:highlight w:val="none"/>
        </w:rPr>
        <w:t>其他</w:t>
      </w:r>
    </w:p>
    <w:p w14:paraId="00158BAD">
      <w:pPr>
        <w:numPr>
          <w:ilvl w:val="255"/>
          <w:numId w:val="0"/>
        </w:numPr>
        <w:adjustRightInd w:val="0"/>
        <w:snapToGrid w:val="0"/>
        <w:spacing w:line="360" w:lineRule="auto"/>
        <w:rPr>
          <w:rFonts w:hint="eastAsia" w:ascii="宋体" w:hAnsi="宋体" w:eastAsia="宋体" w:cs="宋体"/>
          <w:iCs/>
          <w:color w:val="auto"/>
          <w:sz w:val="24"/>
          <w:szCs w:val="24"/>
          <w:highlight w:val="none"/>
        </w:rPr>
      </w:pPr>
      <w:r>
        <w:rPr>
          <w:rFonts w:hint="eastAsia" w:ascii="宋体" w:hAnsi="宋体" w:eastAsia="宋体" w:cs="宋体"/>
          <w:color w:val="auto"/>
          <w:sz w:val="24"/>
          <w:szCs w:val="24"/>
          <w:highlight w:val="none"/>
        </w:rPr>
        <w:t xml:space="preserve">    （8）中标（成交）供应商是否为外商投资企业：</w:t>
      </w:r>
      <w:r>
        <w:rPr>
          <w:rFonts w:hint="eastAsia" w:ascii="宋体" w:hAnsi="宋体" w:eastAsia="宋体" w:cs="宋体"/>
          <w:iCs/>
          <w:color w:val="auto"/>
          <w:sz w:val="24"/>
          <w:szCs w:val="24"/>
          <w:highlight w:val="none"/>
        </w:rPr>
        <w:sym w:font="Wingdings" w:char="00A8"/>
      </w:r>
      <w:r>
        <w:rPr>
          <w:rFonts w:hint="eastAsia" w:ascii="宋体" w:hAnsi="宋体" w:eastAsia="宋体" w:cs="宋体"/>
          <w:iCs/>
          <w:color w:val="auto"/>
          <w:sz w:val="24"/>
          <w:szCs w:val="24"/>
          <w:highlight w:val="none"/>
        </w:rPr>
        <w:t xml:space="preserve">是       </w:t>
      </w:r>
      <w:r>
        <w:rPr>
          <w:rFonts w:hint="eastAsia" w:ascii="宋体" w:hAnsi="宋体" w:eastAsia="宋体" w:cs="宋体"/>
          <w:iCs/>
          <w:color w:val="auto"/>
          <w:sz w:val="24"/>
          <w:szCs w:val="24"/>
          <w:highlight w:val="none"/>
        </w:rPr>
        <w:sym w:font="Wingdings" w:char="00A8"/>
      </w:r>
      <w:r>
        <w:rPr>
          <w:rFonts w:hint="eastAsia" w:ascii="宋体" w:hAnsi="宋体" w:eastAsia="宋体" w:cs="宋体"/>
          <w:iCs/>
          <w:color w:val="auto"/>
          <w:sz w:val="24"/>
          <w:szCs w:val="24"/>
          <w:highlight w:val="none"/>
        </w:rPr>
        <w:t>否</w:t>
      </w:r>
    </w:p>
    <w:p w14:paraId="559C1EA6">
      <w:pPr>
        <w:pStyle w:val="62"/>
        <w:tabs>
          <w:tab w:val="left" w:pos="1340"/>
        </w:tabs>
        <w:spacing w:line="360" w:lineRule="auto"/>
        <w:ind w:firstLine="48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 xml:space="preserve">     外商投资企业类型：</w:t>
      </w:r>
      <w:r>
        <w:rPr>
          <w:rFonts w:hint="eastAsia" w:ascii="宋体" w:hAnsi="宋体" w:eastAsia="宋体" w:cs="宋体"/>
          <w:iCs/>
          <w:color w:val="auto"/>
          <w:sz w:val="24"/>
          <w:szCs w:val="24"/>
          <w:highlight w:val="none"/>
        </w:rPr>
        <w:sym w:font="Wingdings" w:char="00A8"/>
      </w:r>
      <w:r>
        <w:rPr>
          <w:rFonts w:hint="eastAsia" w:ascii="宋体" w:hAnsi="宋体" w:eastAsia="宋体" w:cs="宋体"/>
          <w:color w:val="auto"/>
          <w:sz w:val="24"/>
          <w:szCs w:val="24"/>
          <w:highlight w:val="none"/>
        </w:rPr>
        <w:t xml:space="preserve">全部由外国投资者投资  </w:t>
      </w:r>
      <w:r>
        <w:rPr>
          <w:rFonts w:hint="eastAsia" w:ascii="宋体" w:hAnsi="宋体" w:eastAsia="宋体" w:cs="宋体"/>
          <w:iCs/>
          <w:color w:val="auto"/>
          <w:sz w:val="24"/>
          <w:szCs w:val="24"/>
          <w:highlight w:val="none"/>
        </w:rPr>
        <w:sym w:font="Wingdings" w:char="00A8"/>
      </w:r>
      <w:r>
        <w:rPr>
          <w:rFonts w:hint="eastAsia" w:ascii="宋体" w:hAnsi="宋体" w:eastAsia="宋体" w:cs="宋体"/>
          <w:iCs/>
          <w:color w:val="auto"/>
          <w:sz w:val="24"/>
          <w:szCs w:val="24"/>
          <w:highlight w:val="none"/>
        </w:rPr>
        <w:t>部分由外国投资者投资</w:t>
      </w:r>
    </w:p>
    <w:p w14:paraId="6150A5FD">
      <w:pPr>
        <w:numPr>
          <w:ilvl w:val="255"/>
          <w:numId w:val="0"/>
        </w:num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（9）是否涉及进口产品：</w:t>
      </w:r>
    </w:p>
    <w:p w14:paraId="6DFCC0A9">
      <w:pPr>
        <w:numPr>
          <w:ilvl w:val="255"/>
          <w:numId w:val="0"/>
        </w:numPr>
        <w:adjustRightInd w:val="0"/>
        <w:snapToGrid w:val="0"/>
        <w:spacing w:line="360" w:lineRule="auto"/>
        <w:ind w:firstLine="960" w:firstLineChars="4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rPr>
        <w:sym w:font="Wingdings" w:char="00A8"/>
      </w:r>
      <w:r>
        <w:rPr>
          <w:rFonts w:hint="eastAsia" w:ascii="宋体" w:hAnsi="宋体" w:eastAsia="宋体" w:cs="宋体"/>
          <w:color w:val="auto"/>
          <w:sz w:val="24"/>
          <w:szCs w:val="24"/>
          <w:highlight w:val="none"/>
        </w:rPr>
        <w:t>是，《政府采购品目分类目录》底级品目名称：</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金额：</w:t>
      </w:r>
      <w:r>
        <w:rPr>
          <w:rFonts w:hint="eastAsia" w:ascii="宋体" w:hAnsi="宋体" w:eastAsia="宋体" w:cs="宋体"/>
          <w:color w:val="auto"/>
          <w:sz w:val="24"/>
          <w:szCs w:val="24"/>
          <w:highlight w:val="none"/>
          <w:u w:val="single"/>
        </w:rPr>
        <w:t xml:space="preserve">        </w:t>
      </w:r>
    </w:p>
    <w:p w14:paraId="147806DD">
      <w:pPr>
        <w:numPr>
          <w:ilvl w:val="255"/>
          <w:numId w:val="0"/>
        </w:numPr>
        <w:adjustRightInd w:val="0"/>
        <w:snapToGrid w:val="0"/>
        <w:spacing w:line="360" w:lineRule="auto"/>
        <w:ind w:firstLine="960" w:firstLineChars="4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国别：</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品牌：</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规格型号：</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p>
    <w:p w14:paraId="5BABFC50">
      <w:pPr>
        <w:adjustRightInd w:val="0"/>
        <w:snapToGrid w:val="0"/>
        <w:spacing w:line="360" w:lineRule="auto"/>
        <w:ind w:firstLine="960" w:firstLineChars="4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√否</w:t>
      </w:r>
    </w:p>
    <w:p w14:paraId="6FFB7375">
      <w:pPr>
        <w:numPr>
          <w:ilvl w:val="255"/>
          <w:numId w:val="0"/>
        </w:numPr>
        <w:tabs>
          <w:tab w:val="left" w:pos="740"/>
        </w:tabs>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（10）是否涉及节能产品：</w:t>
      </w:r>
    </w:p>
    <w:p w14:paraId="1C894D03">
      <w:pPr>
        <w:numPr>
          <w:ilvl w:val="255"/>
          <w:numId w:val="0"/>
        </w:numPr>
        <w:tabs>
          <w:tab w:val="left" w:pos="740"/>
        </w:tabs>
        <w:adjustRightInd w:val="0"/>
        <w:snapToGrid w:val="0"/>
        <w:spacing w:line="360" w:lineRule="auto"/>
        <w:rPr>
          <w:rFonts w:hint="eastAsia" w:ascii="宋体" w:hAnsi="宋体" w:eastAsia="宋体" w:cs="宋体"/>
          <w:iCs/>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rPr>
        <w:sym w:font="Wingdings" w:char="00A8"/>
      </w:r>
      <w:r>
        <w:rPr>
          <w:rFonts w:hint="eastAsia" w:ascii="宋体" w:hAnsi="宋体" w:eastAsia="宋体" w:cs="宋体"/>
          <w:color w:val="auto"/>
          <w:sz w:val="24"/>
          <w:szCs w:val="24"/>
          <w:highlight w:val="none"/>
        </w:rPr>
        <w:t>是，《节能产品政府采购品目清单》的底级品目名称：</w:t>
      </w:r>
      <w:r>
        <w:rPr>
          <w:rFonts w:hint="eastAsia" w:ascii="宋体" w:hAnsi="宋体" w:eastAsia="宋体" w:cs="宋体"/>
          <w:color w:val="auto"/>
          <w:sz w:val="24"/>
          <w:szCs w:val="24"/>
          <w:highlight w:val="none"/>
          <w:u w:val="single"/>
        </w:rPr>
        <w:t xml:space="preserve">         </w:t>
      </w:r>
      <w:r>
        <w:rPr>
          <w:rFonts w:hint="eastAsia" w:ascii="宋体" w:hAnsi="宋体" w:eastAsia="宋体" w:cs="宋体"/>
          <w:iCs/>
          <w:color w:val="auto"/>
          <w:sz w:val="24"/>
          <w:szCs w:val="24"/>
          <w:highlight w:val="none"/>
        </w:rPr>
        <w:t xml:space="preserve">     </w:t>
      </w:r>
    </w:p>
    <w:p w14:paraId="5A5C2928">
      <w:pPr>
        <w:numPr>
          <w:ilvl w:val="255"/>
          <w:numId w:val="0"/>
        </w:numPr>
        <w:tabs>
          <w:tab w:val="left" w:pos="740"/>
        </w:tabs>
        <w:adjustRightInd w:val="0"/>
        <w:snapToGrid w:val="0"/>
        <w:spacing w:line="360" w:lineRule="auto"/>
        <w:rPr>
          <w:rFonts w:hint="eastAsia" w:ascii="宋体" w:hAnsi="宋体" w:eastAsia="宋体" w:cs="宋体"/>
          <w:iCs/>
          <w:color w:val="auto"/>
          <w:sz w:val="24"/>
          <w:szCs w:val="24"/>
          <w:highlight w:val="none"/>
        </w:rPr>
      </w:pPr>
      <w:r>
        <w:rPr>
          <w:rFonts w:hint="eastAsia" w:ascii="宋体" w:hAnsi="宋体" w:eastAsia="宋体" w:cs="宋体"/>
          <w:iCs/>
          <w:color w:val="auto"/>
          <w:sz w:val="24"/>
          <w:szCs w:val="24"/>
          <w:highlight w:val="none"/>
        </w:rPr>
        <w:t xml:space="preserve">                </w:t>
      </w:r>
      <w:r>
        <w:rPr>
          <w:rFonts w:hint="eastAsia" w:ascii="宋体" w:hAnsi="宋体" w:eastAsia="宋体" w:cs="宋体"/>
          <w:iCs/>
          <w:color w:val="auto"/>
          <w:sz w:val="24"/>
          <w:szCs w:val="24"/>
          <w:highlight w:val="none"/>
        </w:rPr>
        <w:sym w:font="Wingdings" w:char="00A8"/>
      </w:r>
      <w:r>
        <w:rPr>
          <w:rFonts w:hint="eastAsia" w:ascii="宋体" w:hAnsi="宋体" w:eastAsia="宋体" w:cs="宋体"/>
          <w:iCs/>
          <w:color w:val="auto"/>
          <w:sz w:val="24"/>
          <w:szCs w:val="24"/>
          <w:highlight w:val="none"/>
        </w:rPr>
        <w:t xml:space="preserve">强制采购       </w:t>
      </w:r>
      <w:r>
        <w:rPr>
          <w:rFonts w:hint="eastAsia" w:ascii="宋体" w:hAnsi="宋体" w:eastAsia="宋体" w:cs="宋体"/>
          <w:iCs/>
          <w:color w:val="auto"/>
          <w:sz w:val="24"/>
          <w:szCs w:val="24"/>
          <w:highlight w:val="none"/>
        </w:rPr>
        <w:sym w:font="Wingdings" w:char="00A8"/>
      </w:r>
      <w:r>
        <w:rPr>
          <w:rFonts w:hint="eastAsia" w:ascii="宋体" w:hAnsi="宋体" w:eastAsia="宋体" w:cs="宋体"/>
          <w:iCs/>
          <w:color w:val="auto"/>
          <w:sz w:val="24"/>
          <w:szCs w:val="24"/>
          <w:highlight w:val="none"/>
        </w:rPr>
        <w:t xml:space="preserve">优先采购    </w:t>
      </w:r>
    </w:p>
    <w:p w14:paraId="1CA3BECC">
      <w:pPr>
        <w:numPr>
          <w:ilvl w:val="255"/>
          <w:numId w:val="0"/>
        </w:numPr>
        <w:tabs>
          <w:tab w:val="left" w:pos="740"/>
        </w:tabs>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iCs/>
          <w:color w:val="auto"/>
          <w:sz w:val="24"/>
          <w:szCs w:val="24"/>
          <w:highlight w:val="none"/>
        </w:rPr>
        <w:t xml:space="preserve">         √</w:t>
      </w:r>
      <w:r>
        <w:rPr>
          <w:rFonts w:hint="eastAsia" w:ascii="宋体" w:hAnsi="宋体" w:eastAsia="宋体" w:cs="宋体"/>
          <w:color w:val="auto"/>
          <w:sz w:val="24"/>
          <w:szCs w:val="24"/>
          <w:highlight w:val="none"/>
        </w:rPr>
        <w:t>否</w:t>
      </w:r>
    </w:p>
    <w:p w14:paraId="50DB54BA">
      <w:pPr>
        <w:numPr>
          <w:ilvl w:val="255"/>
          <w:numId w:val="0"/>
        </w:numPr>
        <w:tabs>
          <w:tab w:val="left" w:pos="740"/>
        </w:tabs>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是否涉及环境标志产品：</w:t>
      </w:r>
    </w:p>
    <w:p w14:paraId="094E3B64">
      <w:pPr>
        <w:numPr>
          <w:ilvl w:val="255"/>
          <w:numId w:val="0"/>
        </w:numPr>
        <w:tabs>
          <w:tab w:val="left" w:pos="740"/>
        </w:tabs>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rPr>
        <w:sym w:font="Wingdings" w:char="00A8"/>
      </w:r>
      <w:r>
        <w:rPr>
          <w:rFonts w:hint="eastAsia" w:ascii="宋体" w:hAnsi="宋体" w:eastAsia="宋体" w:cs="宋体"/>
          <w:color w:val="auto"/>
          <w:sz w:val="24"/>
          <w:szCs w:val="24"/>
          <w:highlight w:val="none"/>
        </w:rPr>
        <w:t>是，《环境标志产品政府采购品目清单》的底级品目名称：</w:t>
      </w:r>
      <w:r>
        <w:rPr>
          <w:rFonts w:hint="eastAsia" w:ascii="宋体" w:hAnsi="宋体" w:eastAsia="宋体" w:cs="宋体"/>
          <w:color w:val="auto"/>
          <w:sz w:val="24"/>
          <w:szCs w:val="24"/>
          <w:highlight w:val="none"/>
          <w:u w:val="single"/>
        </w:rPr>
        <w:t xml:space="preserve">         </w:t>
      </w:r>
      <w:r>
        <w:rPr>
          <w:rFonts w:hint="eastAsia" w:ascii="宋体" w:hAnsi="宋体" w:eastAsia="宋体" w:cs="宋体"/>
          <w:iCs/>
          <w:color w:val="auto"/>
          <w:sz w:val="24"/>
          <w:szCs w:val="24"/>
          <w:highlight w:val="none"/>
        </w:rPr>
        <w:t xml:space="preserve"> </w:t>
      </w:r>
    </w:p>
    <w:p w14:paraId="19491A50">
      <w:pPr>
        <w:numPr>
          <w:ilvl w:val="255"/>
          <w:numId w:val="0"/>
        </w:numPr>
        <w:tabs>
          <w:tab w:val="left" w:pos="740"/>
        </w:tabs>
        <w:adjustRightInd w:val="0"/>
        <w:snapToGrid w:val="0"/>
        <w:spacing w:line="360" w:lineRule="auto"/>
        <w:rPr>
          <w:rFonts w:hint="eastAsia" w:ascii="宋体" w:hAnsi="宋体" w:eastAsia="宋体" w:cs="宋体"/>
          <w:iCs/>
          <w:color w:val="auto"/>
          <w:sz w:val="24"/>
          <w:szCs w:val="24"/>
          <w:highlight w:val="none"/>
        </w:rPr>
      </w:pPr>
      <w:r>
        <w:rPr>
          <w:rFonts w:hint="eastAsia" w:ascii="宋体" w:hAnsi="宋体" w:eastAsia="宋体" w:cs="宋体"/>
          <w:iCs/>
          <w:color w:val="auto"/>
          <w:sz w:val="24"/>
          <w:szCs w:val="24"/>
          <w:highlight w:val="none"/>
        </w:rPr>
        <w:t xml:space="preserve">                </w:t>
      </w:r>
      <w:r>
        <w:rPr>
          <w:rFonts w:hint="eastAsia" w:ascii="宋体" w:hAnsi="宋体" w:eastAsia="宋体" w:cs="宋体"/>
          <w:iCs/>
          <w:color w:val="auto"/>
          <w:sz w:val="24"/>
          <w:szCs w:val="24"/>
          <w:highlight w:val="none"/>
        </w:rPr>
        <w:sym w:font="Wingdings" w:char="00A8"/>
      </w:r>
      <w:r>
        <w:rPr>
          <w:rFonts w:hint="eastAsia" w:ascii="宋体" w:hAnsi="宋体" w:eastAsia="宋体" w:cs="宋体"/>
          <w:iCs/>
          <w:color w:val="auto"/>
          <w:sz w:val="24"/>
          <w:szCs w:val="24"/>
          <w:highlight w:val="none"/>
        </w:rPr>
        <w:t xml:space="preserve">强制采购       </w:t>
      </w:r>
      <w:r>
        <w:rPr>
          <w:rFonts w:hint="eastAsia" w:ascii="宋体" w:hAnsi="宋体" w:eastAsia="宋体" w:cs="宋体"/>
          <w:iCs/>
          <w:color w:val="auto"/>
          <w:sz w:val="24"/>
          <w:szCs w:val="24"/>
          <w:highlight w:val="none"/>
        </w:rPr>
        <w:sym w:font="Wingdings" w:char="00A8"/>
      </w:r>
      <w:r>
        <w:rPr>
          <w:rFonts w:hint="eastAsia" w:ascii="宋体" w:hAnsi="宋体" w:eastAsia="宋体" w:cs="宋体"/>
          <w:iCs/>
          <w:color w:val="auto"/>
          <w:sz w:val="24"/>
          <w:szCs w:val="24"/>
          <w:highlight w:val="none"/>
        </w:rPr>
        <w:t xml:space="preserve">优先采购    </w:t>
      </w:r>
    </w:p>
    <w:p w14:paraId="24831E45">
      <w:pPr>
        <w:numPr>
          <w:ilvl w:val="255"/>
          <w:numId w:val="0"/>
        </w:numPr>
        <w:tabs>
          <w:tab w:val="left" w:pos="740"/>
        </w:tabs>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iCs/>
          <w:color w:val="auto"/>
          <w:sz w:val="24"/>
          <w:szCs w:val="24"/>
          <w:highlight w:val="none"/>
        </w:rPr>
        <w:t xml:space="preserve">         √</w:t>
      </w:r>
      <w:r>
        <w:rPr>
          <w:rFonts w:hint="eastAsia" w:ascii="宋体" w:hAnsi="宋体" w:eastAsia="宋体" w:cs="宋体"/>
          <w:color w:val="auto"/>
          <w:sz w:val="24"/>
          <w:szCs w:val="24"/>
          <w:highlight w:val="none"/>
        </w:rPr>
        <w:t>否</w:t>
      </w:r>
    </w:p>
    <w:p w14:paraId="552D012D">
      <w:pPr>
        <w:pStyle w:val="62"/>
        <w:numPr>
          <w:ilvl w:val="255"/>
          <w:numId w:val="0"/>
        </w:numPr>
        <w:snapToGrid w:val="0"/>
        <w:spacing w:line="360" w:lineRule="auto"/>
        <w:rPr>
          <w:rFonts w:hint="eastAsia" w:ascii="宋体" w:hAnsi="宋体" w:eastAsia="宋体" w:cs="宋体"/>
          <w:color w:val="auto"/>
          <w:kern w:val="2"/>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color w:val="auto"/>
          <w:kern w:val="2"/>
          <w:sz w:val="24"/>
          <w:szCs w:val="24"/>
          <w:highlight w:val="none"/>
        </w:rPr>
        <w:t xml:space="preserve">是否涉及绿色产品： </w:t>
      </w:r>
    </w:p>
    <w:p w14:paraId="3A92F975">
      <w:pPr>
        <w:pStyle w:val="62"/>
        <w:spacing w:line="360" w:lineRule="auto"/>
        <w:ind w:firstLine="420" w:firstLineChars="0"/>
        <w:rPr>
          <w:rFonts w:hint="eastAsia" w:ascii="宋体" w:hAnsi="宋体" w:eastAsia="宋体" w:cs="宋体"/>
          <w:color w:val="auto"/>
          <w:sz w:val="24"/>
          <w:szCs w:val="24"/>
          <w:highlight w:val="none"/>
          <w:u w:val="single"/>
        </w:rPr>
      </w:pPr>
      <w:r>
        <w:rPr>
          <w:rFonts w:hint="eastAsia" w:ascii="宋体" w:hAnsi="宋体" w:eastAsia="宋体" w:cs="宋体"/>
          <w:color w:val="auto"/>
          <w:kern w:val="2"/>
          <w:sz w:val="24"/>
          <w:szCs w:val="24"/>
          <w:highlight w:val="none"/>
        </w:rPr>
        <w:t xml:space="preserve">     </w:t>
      </w:r>
      <w:r>
        <w:rPr>
          <w:rFonts w:hint="eastAsia" w:ascii="宋体" w:hAnsi="宋体" w:eastAsia="宋体" w:cs="宋体"/>
          <w:color w:val="auto"/>
          <w:kern w:val="2"/>
          <w:sz w:val="24"/>
          <w:szCs w:val="24"/>
          <w:highlight w:val="none"/>
        </w:rPr>
        <w:sym w:font="Wingdings" w:char="00A8"/>
      </w:r>
      <w:r>
        <w:rPr>
          <w:rFonts w:hint="eastAsia" w:ascii="宋体" w:hAnsi="宋体" w:eastAsia="宋体" w:cs="宋体"/>
          <w:color w:val="auto"/>
          <w:kern w:val="2"/>
          <w:sz w:val="24"/>
          <w:szCs w:val="24"/>
          <w:highlight w:val="none"/>
        </w:rPr>
        <w:t>是，绿色产品政府采购相关政策确定的底级品目名称：</w:t>
      </w:r>
      <w:r>
        <w:rPr>
          <w:rFonts w:hint="eastAsia" w:ascii="宋体" w:hAnsi="宋体" w:eastAsia="宋体" w:cs="宋体"/>
          <w:color w:val="auto"/>
          <w:sz w:val="24"/>
          <w:szCs w:val="24"/>
          <w:highlight w:val="none"/>
          <w:u w:val="single"/>
        </w:rPr>
        <w:t xml:space="preserve">         </w:t>
      </w:r>
    </w:p>
    <w:p w14:paraId="3378DCBD">
      <w:pPr>
        <w:numPr>
          <w:ilvl w:val="255"/>
          <w:numId w:val="0"/>
        </w:numPr>
        <w:tabs>
          <w:tab w:val="left" w:pos="740"/>
        </w:tabs>
        <w:adjustRightInd w:val="0"/>
        <w:snapToGrid w:val="0"/>
        <w:spacing w:line="360" w:lineRule="auto"/>
        <w:rPr>
          <w:rFonts w:hint="eastAsia" w:ascii="宋体" w:hAnsi="宋体" w:eastAsia="宋体" w:cs="宋体"/>
          <w:iCs/>
          <w:color w:val="auto"/>
          <w:sz w:val="24"/>
          <w:szCs w:val="24"/>
          <w:highlight w:val="none"/>
        </w:rPr>
      </w:pPr>
      <w:r>
        <w:rPr>
          <w:rFonts w:hint="eastAsia" w:ascii="宋体" w:hAnsi="宋体" w:eastAsia="宋体" w:cs="宋体"/>
          <w:iCs/>
          <w:color w:val="auto"/>
          <w:sz w:val="24"/>
          <w:szCs w:val="24"/>
          <w:highlight w:val="none"/>
        </w:rPr>
        <w:t xml:space="preserve">                </w:t>
      </w:r>
      <w:r>
        <w:rPr>
          <w:rFonts w:hint="eastAsia" w:ascii="宋体" w:hAnsi="宋体" w:eastAsia="宋体" w:cs="宋体"/>
          <w:iCs/>
          <w:color w:val="auto"/>
          <w:sz w:val="24"/>
          <w:szCs w:val="24"/>
          <w:highlight w:val="none"/>
        </w:rPr>
        <w:sym w:font="Wingdings" w:char="00A8"/>
      </w:r>
      <w:r>
        <w:rPr>
          <w:rFonts w:hint="eastAsia" w:ascii="宋体" w:hAnsi="宋体" w:eastAsia="宋体" w:cs="宋体"/>
          <w:iCs/>
          <w:color w:val="auto"/>
          <w:sz w:val="24"/>
          <w:szCs w:val="24"/>
          <w:highlight w:val="none"/>
        </w:rPr>
        <w:t xml:space="preserve">强制采购       </w:t>
      </w:r>
      <w:r>
        <w:rPr>
          <w:rFonts w:hint="eastAsia" w:ascii="宋体" w:hAnsi="宋体" w:eastAsia="宋体" w:cs="宋体"/>
          <w:iCs/>
          <w:color w:val="auto"/>
          <w:sz w:val="24"/>
          <w:szCs w:val="24"/>
          <w:highlight w:val="none"/>
        </w:rPr>
        <w:sym w:font="Wingdings" w:char="00A8"/>
      </w:r>
      <w:r>
        <w:rPr>
          <w:rFonts w:hint="eastAsia" w:ascii="宋体" w:hAnsi="宋体" w:eastAsia="宋体" w:cs="宋体"/>
          <w:iCs/>
          <w:color w:val="auto"/>
          <w:sz w:val="24"/>
          <w:szCs w:val="24"/>
          <w:highlight w:val="none"/>
        </w:rPr>
        <w:t xml:space="preserve">优先采购    </w:t>
      </w:r>
    </w:p>
    <w:p w14:paraId="3EB91354">
      <w:pPr>
        <w:pStyle w:val="62"/>
        <w:spacing w:line="360" w:lineRule="auto"/>
        <w:ind w:firstLine="420" w:firstLineChars="0"/>
        <w:rPr>
          <w:rFonts w:hint="eastAsia" w:ascii="宋体" w:hAnsi="宋体" w:eastAsia="宋体" w:cs="宋体"/>
          <w:color w:val="auto"/>
          <w:sz w:val="24"/>
          <w:szCs w:val="24"/>
          <w:highlight w:val="none"/>
        </w:rPr>
      </w:pPr>
      <w:r>
        <w:rPr>
          <w:rFonts w:hint="eastAsia" w:ascii="宋体" w:hAnsi="宋体" w:eastAsia="宋体" w:cs="宋体"/>
          <w:color w:val="auto"/>
          <w:kern w:val="2"/>
          <w:sz w:val="24"/>
          <w:szCs w:val="24"/>
          <w:highlight w:val="none"/>
        </w:rPr>
        <w:t xml:space="preserve">     </w:t>
      </w:r>
      <w:r>
        <w:rPr>
          <w:rFonts w:hint="eastAsia" w:ascii="宋体" w:hAnsi="宋体" w:eastAsia="宋体" w:cs="宋体"/>
          <w:iCs/>
          <w:color w:val="auto"/>
          <w:sz w:val="24"/>
          <w:szCs w:val="24"/>
          <w:highlight w:val="none"/>
        </w:rPr>
        <w:t>√</w:t>
      </w:r>
      <w:r>
        <w:rPr>
          <w:rFonts w:hint="eastAsia" w:ascii="宋体" w:hAnsi="宋体" w:eastAsia="宋体" w:cs="宋体"/>
          <w:color w:val="auto"/>
          <w:kern w:val="2"/>
          <w:sz w:val="24"/>
          <w:szCs w:val="24"/>
          <w:highlight w:val="none"/>
        </w:rPr>
        <w:t>否</w:t>
      </w:r>
    </w:p>
    <w:p w14:paraId="5D276118">
      <w:pPr>
        <w:numPr>
          <w:ilvl w:val="255"/>
          <w:numId w:val="0"/>
        </w:num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（11）涉及商品包装和快递包装的，是否参考《商品包装政府采购需求标准（试行）》、《快递包装政府采购需求标准（试行）》明确产品及相关快递服务的具体包装要求：</w:t>
      </w:r>
    </w:p>
    <w:p w14:paraId="4AC4BEEB">
      <w:pPr>
        <w:numPr>
          <w:ilvl w:val="255"/>
          <w:numId w:val="0"/>
        </w:numPr>
        <w:adjustRightInd w:val="0"/>
        <w:snapToGrid w:val="0"/>
        <w:spacing w:line="360" w:lineRule="auto"/>
        <w:ind w:firstLine="960" w:firstLineChars="4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sym w:font="Wingdings" w:char="00A8"/>
      </w:r>
      <w:r>
        <w:rPr>
          <w:rFonts w:hint="eastAsia" w:ascii="宋体" w:hAnsi="宋体" w:eastAsia="宋体" w:cs="宋体"/>
          <w:color w:val="auto"/>
          <w:sz w:val="24"/>
          <w:szCs w:val="24"/>
          <w:highlight w:val="none"/>
        </w:rPr>
        <w:t xml:space="preserve">是       </w:t>
      </w:r>
      <w:r>
        <w:rPr>
          <w:rFonts w:hint="eastAsia" w:ascii="宋体" w:hAnsi="宋体" w:eastAsia="宋体" w:cs="宋体"/>
          <w:color w:val="auto"/>
          <w:sz w:val="24"/>
          <w:szCs w:val="24"/>
          <w:highlight w:val="none"/>
        </w:rPr>
        <w:sym w:font="Wingdings" w:char="00A8"/>
      </w:r>
      <w:r>
        <w:rPr>
          <w:rFonts w:hint="eastAsia" w:ascii="宋体" w:hAnsi="宋体" w:eastAsia="宋体" w:cs="宋体"/>
          <w:color w:val="auto"/>
          <w:sz w:val="24"/>
          <w:szCs w:val="24"/>
          <w:highlight w:val="none"/>
        </w:rPr>
        <w:t xml:space="preserve">否      </w:t>
      </w:r>
      <w:r>
        <w:rPr>
          <w:rFonts w:hint="eastAsia" w:ascii="宋体" w:hAnsi="宋体" w:eastAsia="宋体" w:cs="宋体"/>
          <w:color w:val="auto"/>
          <w:sz w:val="24"/>
          <w:szCs w:val="24"/>
          <w:highlight w:val="none"/>
        </w:rPr>
        <w:sym w:font="Wingdings" w:char="00A8"/>
      </w:r>
      <w:r>
        <w:rPr>
          <w:rFonts w:hint="eastAsia" w:ascii="宋体" w:hAnsi="宋体" w:eastAsia="宋体" w:cs="宋体"/>
          <w:color w:val="auto"/>
          <w:sz w:val="24"/>
          <w:szCs w:val="24"/>
          <w:highlight w:val="none"/>
        </w:rPr>
        <w:t>不涉及</w:t>
      </w:r>
    </w:p>
    <w:p w14:paraId="78DD181B">
      <w:pPr>
        <w:numPr>
          <w:ilvl w:val="0"/>
          <w:numId w:val="2"/>
        </w:numPr>
        <w:adjustRightInd w:val="0"/>
        <w:snapToGrid w:val="0"/>
        <w:spacing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合同金额</w:t>
      </w:r>
    </w:p>
    <w:p w14:paraId="54F2C2BC">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（1）合同金额小写：</w:t>
      </w:r>
      <w:r>
        <w:rPr>
          <w:rFonts w:hint="eastAsia" w:ascii="宋体" w:hAnsi="宋体" w:eastAsia="宋体" w:cs="宋体"/>
          <w:color w:val="auto"/>
          <w:sz w:val="24"/>
          <w:szCs w:val="24"/>
          <w:highlight w:val="none"/>
          <w:u w:val="single"/>
        </w:rPr>
        <w:t xml:space="preserve">                           </w:t>
      </w:r>
    </w:p>
    <w:p w14:paraId="00259B1D">
      <w:pPr>
        <w:adjustRightInd w:val="0"/>
        <w:snapToGrid w:val="0"/>
        <w:spacing w:line="360" w:lineRule="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 xml:space="preserve">                 大写：</w:t>
      </w:r>
      <w:r>
        <w:rPr>
          <w:rFonts w:hint="eastAsia" w:ascii="宋体" w:hAnsi="宋体" w:eastAsia="宋体" w:cs="宋体"/>
          <w:color w:val="auto"/>
          <w:sz w:val="24"/>
          <w:szCs w:val="24"/>
          <w:highlight w:val="none"/>
          <w:u w:val="single"/>
        </w:rPr>
        <w:t xml:space="preserve">                           </w:t>
      </w:r>
    </w:p>
    <w:p w14:paraId="3DBC61D4">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分包金额（如有）小写：</w:t>
      </w:r>
      <w:r>
        <w:rPr>
          <w:rFonts w:hint="eastAsia" w:ascii="宋体" w:hAnsi="宋体" w:eastAsia="宋体" w:cs="宋体"/>
          <w:color w:val="auto"/>
          <w:sz w:val="24"/>
          <w:szCs w:val="24"/>
          <w:highlight w:val="none"/>
          <w:u w:val="single"/>
        </w:rPr>
        <w:t xml:space="preserve">                   </w:t>
      </w:r>
    </w:p>
    <w:p w14:paraId="7F01E7FE">
      <w:pPr>
        <w:adjustRightInd w:val="0"/>
        <w:snapToGrid w:val="0"/>
        <w:spacing w:line="360" w:lineRule="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 xml:space="preserve">                     大写：</w:t>
      </w:r>
      <w:r>
        <w:rPr>
          <w:rFonts w:hint="eastAsia" w:ascii="宋体" w:hAnsi="宋体" w:eastAsia="宋体" w:cs="宋体"/>
          <w:color w:val="auto"/>
          <w:sz w:val="24"/>
          <w:szCs w:val="24"/>
          <w:highlight w:val="none"/>
          <w:u w:val="single"/>
        </w:rPr>
        <w:t xml:space="preserve">                       </w:t>
      </w:r>
    </w:p>
    <w:p w14:paraId="072DEBAB">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（注：固定单价合同应填写单价和最高限价）</w:t>
      </w:r>
    </w:p>
    <w:p w14:paraId="07B6C449">
      <w:pPr>
        <w:numPr>
          <w:ilvl w:val="255"/>
          <w:numId w:val="0"/>
        </w:num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（2）合同定价方式（采用组合定价方式的，可以勾选多项）：</w:t>
      </w:r>
    </w:p>
    <w:p w14:paraId="0994CABD">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iCs/>
          <w:color w:val="auto"/>
          <w:sz w:val="24"/>
          <w:szCs w:val="24"/>
          <w:highlight w:val="none"/>
        </w:rPr>
        <w:t xml:space="preserve">  </w:t>
      </w:r>
      <w:r>
        <w:rPr>
          <w:rFonts w:hint="eastAsia" w:ascii="宋体" w:hAnsi="宋体" w:eastAsia="宋体" w:cs="宋体"/>
          <w:color w:val="auto"/>
          <w:sz w:val="24"/>
          <w:szCs w:val="24"/>
          <w:highlight w:val="none"/>
        </w:rPr>
        <w:t>√</w:t>
      </w:r>
      <w:r>
        <w:rPr>
          <w:rFonts w:hint="eastAsia" w:ascii="宋体" w:hAnsi="宋体" w:eastAsia="宋体" w:cs="宋体"/>
          <w:iCs/>
          <w:color w:val="auto"/>
          <w:sz w:val="24"/>
          <w:szCs w:val="24"/>
          <w:highlight w:val="none"/>
        </w:rPr>
        <w:t xml:space="preserve">固定总价 </w:t>
      </w:r>
      <w:r>
        <w:rPr>
          <w:rFonts w:hint="eastAsia" w:ascii="宋体" w:hAnsi="宋体" w:eastAsia="宋体" w:cs="宋体"/>
          <w:iCs/>
          <w:color w:val="auto"/>
          <w:sz w:val="24"/>
          <w:szCs w:val="24"/>
          <w:highlight w:val="none"/>
        </w:rPr>
        <w:sym w:font="Wingdings" w:char="00A8"/>
      </w:r>
      <w:r>
        <w:rPr>
          <w:rFonts w:hint="eastAsia" w:ascii="宋体" w:hAnsi="宋体" w:eastAsia="宋体" w:cs="宋体"/>
          <w:iCs/>
          <w:color w:val="auto"/>
          <w:sz w:val="24"/>
          <w:szCs w:val="24"/>
          <w:highlight w:val="none"/>
        </w:rPr>
        <w:t xml:space="preserve">固定单价 </w:t>
      </w:r>
      <w:r>
        <w:rPr>
          <w:rFonts w:hint="eastAsia" w:ascii="宋体" w:hAnsi="宋体" w:eastAsia="宋体" w:cs="宋体"/>
          <w:iCs/>
          <w:color w:val="auto"/>
          <w:sz w:val="24"/>
          <w:szCs w:val="24"/>
          <w:highlight w:val="none"/>
        </w:rPr>
        <w:sym w:font="Wingdings" w:char="00A8"/>
      </w:r>
      <w:r>
        <w:rPr>
          <w:rFonts w:hint="eastAsia" w:ascii="宋体" w:hAnsi="宋体" w:eastAsia="宋体" w:cs="宋体"/>
          <w:iCs/>
          <w:color w:val="auto"/>
          <w:sz w:val="24"/>
          <w:szCs w:val="24"/>
          <w:highlight w:val="none"/>
        </w:rPr>
        <w:t xml:space="preserve">固定费率 </w:t>
      </w:r>
      <w:r>
        <w:rPr>
          <w:rFonts w:hint="eastAsia" w:ascii="宋体" w:hAnsi="宋体" w:eastAsia="宋体" w:cs="宋体"/>
          <w:iCs/>
          <w:color w:val="auto"/>
          <w:sz w:val="24"/>
          <w:szCs w:val="24"/>
          <w:highlight w:val="none"/>
        </w:rPr>
        <w:sym w:font="Wingdings" w:char="00A8"/>
      </w:r>
      <w:r>
        <w:rPr>
          <w:rFonts w:hint="eastAsia" w:ascii="宋体" w:hAnsi="宋体" w:eastAsia="宋体" w:cs="宋体"/>
          <w:iCs/>
          <w:color w:val="auto"/>
          <w:sz w:val="24"/>
          <w:szCs w:val="24"/>
          <w:highlight w:val="none"/>
        </w:rPr>
        <w:t xml:space="preserve">成本补偿 </w:t>
      </w:r>
      <w:r>
        <w:rPr>
          <w:rFonts w:hint="eastAsia" w:ascii="宋体" w:hAnsi="宋体" w:eastAsia="宋体" w:cs="宋体"/>
          <w:iCs/>
          <w:color w:val="auto"/>
          <w:sz w:val="24"/>
          <w:szCs w:val="24"/>
          <w:highlight w:val="none"/>
        </w:rPr>
        <w:sym w:font="Wingdings" w:char="00A8"/>
      </w:r>
      <w:r>
        <w:rPr>
          <w:rFonts w:hint="eastAsia" w:ascii="宋体" w:hAnsi="宋体" w:eastAsia="宋体" w:cs="宋体"/>
          <w:iCs/>
          <w:color w:val="auto"/>
          <w:sz w:val="24"/>
          <w:szCs w:val="24"/>
          <w:highlight w:val="none"/>
        </w:rPr>
        <w:t xml:space="preserve">绩效激励 </w:t>
      </w:r>
      <w:r>
        <w:rPr>
          <w:rFonts w:hint="eastAsia" w:ascii="宋体" w:hAnsi="宋体" w:eastAsia="宋体" w:cs="宋体"/>
          <w:iCs/>
          <w:color w:val="auto"/>
          <w:sz w:val="24"/>
          <w:szCs w:val="24"/>
          <w:highlight w:val="none"/>
        </w:rPr>
        <w:sym w:font="Wingdings" w:char="00A8"/>
      </w:r>
      <w:r>
        <w:rPr>
          <w:rFonts w:hint="eastAsia" w:ascii="宋体" w:hAnsi="宋体" w:eastAsia="宋体" w:cs="宋体"/>
          <w:iCs/>
          <w:color w:val="auto"/>
          <w:sz w:val="24"/>
          <w:szCs w:val="24"/>
          <w:highlight w:val="none"/>
        </w:rPr>
        <w:t>其他</w:t>
      </w:r>
      <w:r>
        <w:rPr>
          <w:rFonts w:hint="eastAsia" w:ascii="宋体" w:hAnsi="宋体" w:eastAsia="宋体" w:cs="宋体"/>
          <w:color w:val="auto"/>
          <w:sz w:val="24"/>
          <w:szCs w:val="24"/>
          <w:highlight w:val="none"/>
          <w:u w:val="single"/>
        </w:rPr>
        <w:t xml:space="preserve">       </w:t>
      </w:r>
    </w:p>
    <w:p w14:paraId="2C325A33">
      <w:pPr>
        <w:pStyle w:val="63"/>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（3）付款方式（按项目实际勾选填写）：</w:t>
      </w:r>
    </w:p>
    <w:p w14:paraId="22BB3072">
      <w:pPr>
        <w:adjustRightInd w:val="0"/>
        <w:snapToGrid w:val="0"/>
        <w:spacing w:line="360" w:lineRule="auto"/>
        <w:ind w:firstLine="720" w:firstLineChars="3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√全额付款：</w:t>
      </w:r>
      <w:r>
        <w:rPr>
          <w:rFonts w:hint="eastAsia" w:ascii="宋体" w:hAnsi="宋体" w:eastAsia="宋体" w:cs="宋体"/>
          <w:color w:val="auto"/>
          <w:sz w:val="24"/>
          <w:szCs w:val="24"/>
          <w:highlight w:val="none"/>
          <w:u w:val="single"/>
        </w:rPr>
        <w:t xml:space="preserve">  所有货物验收合格后一次性支付合同价款。 </w:t>
      </w:r>
    </w:p>
    <w:p w14:paraId="023E37B2">
      <w:pPr>
        <w:snapToGrid w:val="0"/>
        <w:spacing w:line="360" w:lineRule="auto"/>
        <w:ind w:firstLine="720" w:firstLineChars="3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sym w:font="Wingdings" w:char="00A8"/>
      </w:r>
      <w:r>
        <w:rPr>
          <w:rFonts w:hint="eastAsia" w:ascii="宋体" w:hAnsi="宋体" w:eastAsia="宋体" w:cs="宋体"/>
          <w:color w:val="auto"/>
          <w:sz w:val="24"/>
          <w:szCs w:val="24"/>
          <w:highlight w:val="none"/>
        </w:rPr>
        <w:t>分期付款：</w:t>
      </w:r>
      <w:r>
        <w:rPr>
          <w:rFonts w:hint="eastAsia" w:ascii="宋体" w:hAnsi="宋体" w:eastAsia="宋体" w:cs="宋体"/>
          <w:color w:val="auto"/>
          <w:sz w:val="24"/>
          <w:szCs w:val="24"/>
          <w:highlight w:val="none"/>
          <w:u w:val="single"/>
        </w:rPr>
        <w:t xml:space="preserve">  （应明确分期支付合同款项的各期比例和支付条件，各期支付条件应与分期履约验收情况挂钩） </w:t>
      </w:r>
      <w:r>
        <w:rPr>
          <w:rFonts w:hint="eastAsia" w:ascii="宋体" w:hAnsi="宋体" w:eastAsia="宋体" w:cs="宋体"/>
          <w:color w:val="auto"/>
          <w:sz w:val="24"/>
          <w:szCs w:val="24"/>
          <w:highlight w:val="none"/>
        </w:rPr>
        <w:t>，其中涉及预付款的：</w:t>
      </w:r>
      <w:r>
        <w:rPr>
          <w:rFonts w:hint="eastAsia" w:ascii="宋体" w:hAnsi="宋体" w:eastAsia="宋体" w:cs="宋体"/>
          <w:color w:val="auto"/>
          <w:sz w:val="24"/>
          <w:szCs w:val="24"/>
          <w:highlight w:val="none"/>
          <w:u w:val="single"/>
        </w:rPr>
        <w:t xml:space="preserve"> （应明确预付款的支付比例和支付条件） </w:t>
      </w:r>
    </w:p>
    <w:p w14:paraId="27EB5692">
      <w:pPr>
        <w:adjustRightInd w:val="0"/>
        <w:snapToGrid w:val="0"/>
        <w:spacing w:line="360" w:lineRule="auto"/>
        <w:ind w:firstLine="720" w:firstLineChars="3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sym w:font="Wingdings" w:char="00A8"/>
      </w:r>
      <w:r>
        <w:rPr>
          <w:rFonts w:hint="eastAsia" w:ascii="宋体" w:hAnsi="宋体" w:eastAsia="宋体" w:cs="宋体"/>
          <w:color w:val="auto"/>
          <w:sz w:val="24"/>
          <w:szCs w:val="24"/>
          <w:highlight w:val="none"/>
        </w:rPr>
        <w:t>成本补偿：</w:t>
      </w:r>
      <w:r>
        <w:rPr>
          <w:rFonts w:hint="eastAsia" w:ascii="宋体" w:hAnsi="宋体" w:eastAsia="宋体" w:cs="宋体"/>
          <w:color w:val="auto"/>
          <w:sz w:val="24"/>
          <w:szCs w:val="24"/>
          <w:highlight w:val="none"/>
          <w:u w:val="single"/>
        </w:rPr>
        <w:t xml:space="preserve">      （应明确按照成本补偿方式的支付方式和支付条件）   </w:t>
      </w:r>
    </w:p>
    <w:p w14:paraId="0A64EDA5">
      <w:pPr>
        <w:adjustRightInd w:val="0"/>
        <w:snapToGrid w:val="0"/>
        <w:spacing w:line="360" w:lineRule="auto"/>
        <w:ind w:firstLine="720" w:firstLineChars="3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sym w:font="Wingdings" w:char="00A8"/>
      </w:r>
      <w:r>
        <w:rPr>
          <w:rFonts w:hint="eastAsia" w:ascii="宋体" w:hAnsi="宋体" w:eastAsia="宋体" w:cs="宋体"/>
          <w:color w:val="auto"/>
          <w:sz w:val="24"/>
          <w:szCs w:val="24"/>
          <w:highlight w:val="none"/>
        </w:rPr>
        <w:t>绩效激励：</w:t>
      </w:r>
      <w:r>
        <w:rPr>
          <w:rFonts w:hint="eastAsia" w:ascii="宋体" w:hAnsi="宋体" w:eastAsia="宋体" w:cs="宋体"/>
          <w:color w:val="auto"/>
          <w:sz w:val="24"/>
          <w:szCs w:val="24"/>
          <w:highlight w:val="none"/>
          <w:u w:val="single"/>
        </w:rPr>
        <w:t xml:space="preserve">      （应明确按照绩效激励方式的支付方式和支付条件）   </w:t>
      </w:r>
    </w:p>
    <w:p w14:paraId="5CFD8BCF">
      <w:pPr>
        <w:numPr>
          <w:ilvl w:val="0"/>
          <w:numId w:val="2"/>
        </w:numPr>
        <w:adjustRightInd w:val="0"/>
        <w:snapToGrid w:val="0"/>
        <w:spacing w:line="360" w:lineRule="auto"/>
        <w:ind w:firstLine="482" w:firstLineChars="200"/>
        <w:rPr>
          <w:rFonts w:hint="eastAsia" w:ascii="宋体" w:hAnsi="宋体" w:eastAsia="宋体" w:cs="宋体"/>
          <w:b/>
          <w:color w:val="auto"/>
          <w:sz w:val="24"/>
          <w:szCs w:val="24"/>
          <w:highlight w:val="none"/>
          <w:u w:val="single"/>
        </w:rPr>
      </w:pPr>
      <w:r>
        <w:rPr>
          <w:rFonts w:hint="eastAsia" w:ascii="宋体" w:hAnsi="宋体" w:eastAsia="宋体" w:cs="宋体"/>
          <w:b/>
          <w:color w:val="auto"/>
          <w:sz w:val="24"/>
          <w:szCs w:val="24"/>
          <w:highlight w:val="none"/>
        </w:rPr>
        <w:t>合同履行</w:t>
      </w:r>
    </w:p>
    <w:p w14:paraId="05E97F3C">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（1）起始日期：</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日，完成日期：</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w:t>
      </w:r>
    </w:p>
    <w:p w14:paraId="69C2DE03">
      <w:pPr>
        <w:adjustRightInd w:val="0"/>
        <w:snapToGrid w:val="0"/>
        <w:spacing w:line="360" w:lineRule="auto"/>
        <w:ind w:firstLine="480" w:firstLineChars="2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（2）履约地点</w:t>
      </w:r>
      <w:r>
        <w:rPr>
          <w:rFonts w:hint="eastAsia" w:ascii="宋体" w:hAnsi="宋体" w:eastAsia="宋体" w:cs="宋体"/>
          <w:bCs/>
          <w:color w:val="auto"/>
          <w:sz w:val="24"/>
          <w:szCs w:val="24"/>
          <w:highlight w:val="none"/>
        </w:rPr>
        <w:t>：</w:t>
      </w:r>
      <w:r>
        <w:rPr>
          <w:rFonts w:hint="eastAsia" w:ascii="宋体" w:hAnsi="宋体" w:eastAsia="宋体" w:cs="宋体"/>
          <w:color w:val="auto"/>
          <w:sz w:val="24"/>
          <w:szCs w:val="24"/>
          <w:highlight w:val="none"/>
          <w:u w:val="single"/>
        </w:rPr>
        <w:t xml:space="preserve">                             </w:t>
      </w:r>
    </w:p>
    <w:p w14:paraId="73CC0249">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（3）履约担保：</w:t>
      </w:r>
      <w:r>
        <w:rPr>
          <w:rFonts w:hint="eastAsia" w:ascii="宋体" w:hAnsi="宋体" w:eastAsia="宋体" w:cs="宋体"/>
          <w:color w:val="auto"/>
          <w:sz w:val="24"/>
          <w:szCs w:val="24"/>
          <w:highlight w:val="none"/>
        </w:rPr>
        <w:t xml:space="preserve">是否收取履约保证金：√是    </w:t>
      </w:r>
      <w:r>
        <w:rPr>
          <w:rFonts w:hint="eastAsia" w:ascii="宋体" w:hAnsi="宋体" w:eastAsia="宋体" w:cs="宋体"/>
          <w:color w:val="auto"/>
          <w:sz w:val="24"/>
          <w:szCs w:val="24"/>
          <w:highlight w:val="none"/>
        </w:rPr>
        <w:sym w:font="Wingdings" w:char="00A8"/>
      </w:r>
      <w:r>
        <w:rPr>
          <w:rFonts w:hint="eastAsia" w:ascii="宋体" w:hAnsi="宋体" w:eastAsia="宋体" w:cs="宋体"/>
          <w:color w:val="auto"/>
          <w:sz w:val="24"/>
          <w:szCs w:val="24"/>
          <w:highlight w:val="none"/>
        </w:rPr>
        <w:t>否</w:t>
      </w:r>
    </w:p>
    <w:p w14:paraId="7480AB9E">
      <w:pPr>
        <w:pStyle w:val="62"/>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 xml:space="preserve">  </w:t>
      </w:r>
      <w:r>
        <w:rPr>
          <w:rFonts w:hint="eastAsia" w:ascii="宋体" w:hAnsi="宋体" w:eastAsia="宋体" w:cs="宋体"/>
          <w:color w:val="auto"/>
          <w:sz w:val="24"/>
          <w:szCs w:val="24"/>
          <w:highlight w:val="none"/>
        </w:rPr>
        <w:t xml:space="preserve">  收取履约保证金形式：</w:t>
      </w:r>
      <w:r>
        <w:rPr>
          <w:rFonts w:hint="eastAsia" w:ascii="宋体" w:hAnsi="宋体" w:eastAsia="宋体" w:cs="宋体"/>
          <w:bCs/>
          <w:color w:val="auto"/>
          <w:sz w:val="24"/>
          <w:szCs w:val="24"/>
          <w:highlight w:val="none"/>
          <w:u w:val="single"/>
        </w:rPr>
        <w:t xml:space="preserve">                            </w:t>
      </w:r>
    </w:p>
    <w:p w14:paraId="0744CB68">
      <w:pPr>
        <w:pStyle w:val="62"/>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收取履约保证金金额：</w:t>
      </w:r>
      <w:r>
        <w:rPr>
          <w:rFonts w:hint="eastAsia" w:ascii="宋体" w:hAnsi="宋体" w:eastAsia="宋体" w:cs="宋体"/>
          <w:bCs/>
          <w:color w:val="auto"/>
          <w:sz w:val="24"/>
          <w:szCs w:val="24"/>
          <w:highlight w:val="none"/>
          <w:u w:val="single"/>
        </w:rPr>
        <w:t xml:space="preserve">                            </w:t>
      </w:r>
    </w:p>
    <w:p w14:paraId="753C03C2">
      <w:pPr>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 xml:space="preserve">    履约担保期限：</w:t>
      </w:r>
      <w:r>
        <w:rPr>
          <w:rFonts w:hint="eastAsia" w:ascii="宋体" w:hAnsi="宋体" w:eastAsia="宋体" w:cs="宋体"/>
          <w:bCs/>
          <w:color w:val="auto"/>
          <w:sz w:val="24"/>
          <w:szCs w:val="24"/>
          <w:highlight w:val="none"/>
          <w:u w:val="single"/>
        </w:rPr>
        <w:t xml:space="preserve"> 履约保证金自本项目履约完成后退还 </w:t>
      </w:r>
    </w:p>
    <w:p w14:paraId="1A692569">
      <w:pPr>
        <w:adjustRightInd w:val="0"/>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（4）分期履行要求：</w:t>
      </w:r>
      <w:r>
        <w:rPr>
          <w:rFonts w:hint="eastAsia" w:ascii="宋体" w:hAnsi="宋体" w:eastAsia="宋体" w:cs="宋体"/>
          <w:bCs/>
          <w:color w:val="auto"/>
          <w:sz w:val="24"/>
          <w:szCs w:val="24"/>
          <w:highlight w:val="none"/>
          <w:u w:val="single"/>
        </w:rPr>
        <w:t xml:space="preserve">  /    </w:t>
      </w:r>
    </w:p>
    <w:p w14:paraId="4ECCF167">
      <w:pPr>
        <w:adjustRightInd w:val="0"/>
        <w:snapToGrid w:val="0"/>
        <w:spacing w:line="360" w:lineRule="auto"/>
        <w:ind w:firstLine="480" w:firstLineChars="200"/>
        <w:rPr>
          <w:rFonts w:hint="eastAsia" w:ascii="宋体" w:hAnsi="宋体" w:eastAsia="宋体" w:cs="宋体"/>
          <w:color w:val="auto"/>
          <w:sz w:val="24"/>
          <w:szCs w:val="24"/>
          <w:highlight w:val="none"/>
          <w:u w:val="single"/>
        </w:rPr>
      </w:pPr>
      <w:r>
        <w:rPr>
          <w:rFonts w:hint="eastAsia" w:ascii="宋体" w:hAnsi="宋体" w:eastAsia="宋体" w:cs="宋体"/>
          <w:bCs/>
          <w:color w:val="auto"/>
          <w:sz w:val="24"/>
          <w:szCs w:val="24"/>
          <w:highlight w:val="none"/>
        </w:rPr>
        <w:t>（5）风险处置措施和替代方案：</w:t>
      </w:r>
      <w:r>
        <w:rPr>
          <w:rFonts w:hint="eastAsia" w:ascii="宋体" w:hAnsi="宋体" w:eastAsia="宋体" w:cs="宋体"/>
          <w:color w:val="auto"/>
          <w:sz w:val="24"/>
          <w:szCs w:val="24"/>
          <w:highlight w:val="none"/>
          <w:u w:val="single"/>
        </w:rPr>
        <w:t xml:space="preserve">  /  </w:t>
      </w:r>
    </w:p>
    <w:p w14:paraId="2755E877">
      <w:pPr>
        <w:numPr>
          <w:ilvl w:val="0"/>
          <w:numId w:val="2"/>
        </w:numPr>
        <w:adjustRightInd w:val="0"/>
        <w:snapToGrid w:val="0"/>
        <w:spacing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合同验收</w:t>
      </w:r>
    </w:p>
    <w:p w14:paraId="25C3F439">
      <w:pPr>
        <w:numPr>
          <w:ilvl w:val="0"/>
          <w:numId w:val="4"/>
        </w:numPr>
        <w:adjustRightInd w:val="0"/>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验收组织方式：</w:t>
      </w:r>
      <w:r>
        <w:rPr>
          <w:rFonts w:hint="eastAsia" w:ascii="宋体" w:hAnsi="宋体" w:eastAsia="宋体" w:cs="宋体"/>
          <w:color w:val="auto"/>
          <w:sz w:val="24"/>
          <w:szCs w:val="24"/>
          <w:highlight w:val="none"/>
        </w:rPr>
        <w:t>√自行组织（如需要则委托第三方组织）</w:t>
      </w:r>
    </w:p>
    <w:p w14:paraId="697D0420">
      <w:pPr>
        <w:adjustRightInd w:val="0"/>
        <w:snapToGrid w:val="0"/>
        <w:spacing w:line="360" w:lineRule="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 xml:space="preserve">         验收主体：</w:t>
      </w:r>
      <w:r>
        <w:rPr>
          <w:rFonts w:hint="eastAsia" w:ascii="宋体" w:hAnsi="宋体" w:eastAsia="宋体" w:cs="宋体"/>
          <w:bCs/>
          <w:color w:val="auto"/>
          <w:sz w:val="24"/>
          <w:szCs w:val="24"/>
          <w:highlight w:val="none"/>
          <w:u w:val="single"/>
        </w:rPr>
        <w:t>采购人</w:t>
      </w:r>
    </w:p>
    <w:p w14:paraId="7C141C28">
      <w:pPr>
        <w:adjustRightInd w:val="0"/>
        <w:snapToGrid w:val="0"/>
        <w:spacing w:line="360" w:lineRule="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 xml:space="preserve">        是否邀请本项目的其他供应商参加验收：</w:t>
      </w:r>
      <w:r>
        <w:rPr>
          <w:rFonts w:hint="eastAsia" w:ascii="宋体" w:hAnsi="宋体" w:eastAsia="宋体" w:cs="宋体"/>
          <w:color w:val="auto"/>
          <w:sz w:val="24"/>
          <w:szCs w:val="24"/>
          <w:highlight w:val="none"/>
        </w:rPr>
        <w:t>如需要</w:t>
      </w:r>
    </w:p>
    <w:p w14:paraId="2A893740">
      <w:pPr>
        <w:adjustRightInd w:val="0"/>
        <w:snapToGrid w:val="0"/>
        <w:spacing w:line="360" w:lineRule="auto"/>
        <w:ind w:firstLine="960" w:firstLineChars="4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是否邀请专家参加验收：</w:t>
      </w:r>
      <w:r>
        <w:rPr>
          <w:rFonts w:hint="eastAsia" w:ascii="宋体" w:hAnsi="宋体" w:eastAsia="宋体" w:cs="宋体"/>
          <w:color w:val="auto"/>
          <w:sz w:val="24"/>
          <w:szCs w:val="24"/>
          <w:highlight w:val="none"/>
        </w:rPr>
        <w:t>如需要</w:t>
      </w:r>
    </w:p>
    <w:p w14:paraId="6D194A85">
      <w:pPr>
        <w:adjustRightInd w:val="0"/>
        <w:snapToGrid w:val="0"/>
        <w:spacing w:line="360" w:lineRule="auto"/>
        <w:ind w:firstLine="960" w:firstLineChars="4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是否邀请服务对象参加验收：</w:t>
      </w:r>
      <w:r>
        <w:rPr>
          <w:rFonts w:hint="eastAsia" w:ascii="宋体" w:hAnsi="宋体" w:eastAsia="宋体" w:cs="宋体"/>
          <w:color w:val="auto"/>
          <w:sz w:val="24"/>
          <w:szCs w:val="24"/>
          <w:highlight w:val="none"/>
        </w:rPr>
        <w:t>如需要</w:t>
      </w:r>
    </w:p>
    <w:p w14:paraId="7E4CB9F6">
      <w:pPr>
        <w:adjustRightInd w:val="0"/>
        <w:snapToGrid w:val="0"/>
        <w:spacing w:line="360" w:lineRule="auto"/>
        <w:ind w:firstLine="960" w:firstLineChars="4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是否邀请第三方检测机构参加验收：</w:t>
      </w:r>
      <w:r>
        <w:rPr>
          <w:rFonts w:hint="eastAsia" w:ascii="宋体" w:hAnsi="宋体" w:eastAsia="宋体" w:cs="宋体"/>
          <w:color w:val="auto"/>
          <w:sz w:val="24"/>
          <w:szCs w:val="24"/>
          <w:highlight w:val="none"/>
        </w:rPr>
        <w:t>如需要</w:t>
      </w:r>
    </w:p>
    <w:p w14:paraId="60871710">
      <w:pPr>
        <w:adjustRightInd w:val="0"/>
        <w:snapToGrid w:val="0"/>
        <w:spacing w:line="360" w:lineRule="auto"/>
        <w:ind w:firstLine="960" w:firstLineChars="4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是否进行抽查检测：</w:t>
      </w:r>
      <w:r>
        <w:rPr>
          <w:rFonts w:hint="eastAsia" w:ascii="宋体" w:hAnsi="宋体" w:eastAsia="宋体" w:cs="宋体"/>
          <w:color w:val="auto"/>
          <w:sz w:val="24"/>
          <w:szCs w:val="24"/>
          <w:highlight w:val="none"/>
        </w:rPr>
        <w:sym w:font="Wingdings" w:char="00A8"/>
      </w:r>
      <w:r>
        <w:rPr>
          <w:rFonts w:hint="eastAsia" w:ascii="宋体" w:hAnsi="宋体" w:eastAsia="宋体" w:cs="宋体"/>
          <w:bCs/>
          <w:color w:val="auto"/>
          <w:sz w:val="24"/>
          <w:szCs w:val="24"/>
          <w:highlight w:val="none"/>
        </w:rPr>
        <w:t>是，抽查比例：</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 xml:space="preserve"> </w:t>
      </w:r>
      <w:r>
        <w:rPr>
          <w:rFonts w:hint="eastAsia" w:ascii="宋体" w:hAnsi="宋体" w:eastAsia="宋体" w:cs="宋体"/>
          <w:color w:val="auto"/>
          <w:sz w:val="24"/>
          <w:szCs w:val="24"/>
          <w:highlight w:val="none"/>
        </w:rPr>
        <w:t>√</w:t>
      </w:r>
      <w:r>
        <w:rPr>
          <w:rFonts w:hint="eastAsia" w:ascii="宋体" w:hAnsi="宋体" w:eastAsia="宋体" w:cs="宋体"/>
          <w:bCs/>
          <w:color w:val="auto"/>
          <w:sz w:val="24"/>
          <w:szCs w:val="24"/>
          <w:highlight w:val="none"/>
        </w:rPr>
        <w:t>否</w:t>
      </w:r>
    </w:p>
    <w:p w14:paraId="398CB507">
      <w:pPr>
        <w:adjustRightInd w:val="0"/>
        <w:snapToGrid w:val="0"/>
        <w:spacing w:line="360" w:lineRule="auto"/>
        <w:ind w:firstLine="960" w:firstLineChars="4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是否存在破坏性检测：</w:t>
      </w:r>
      <w:r>
        <w:rPr>
          <w:rFonts w:hint="eastAsia" w:ascii="宋体" w:hAnsi="宋体" w:eastAsia="宋体" w:cs="宋体"/>
          <w:color w:val="auto"/>
          <w:sz w:val="24"/>
          <w:szCs w:val="24"/>
          <w:highlight w:val="none"/>
        </w:rPr>
        <w:sym w:font="Wingdings" w:char="00A8"/>
      </w:r>
      <w:r>
        <w:rPr>
          <w:rFonts w:hint="eastAsia" w:ascii="宋体" w:hAnsi="宋体" w:eastAsia="宋体" w:cs="宋体"/>
          <w:bCs/>
          <w:color w:val="auto"/>
          <w:sz w:val="24"/>
          <w:szCs w:val="24"/>
          <w:highlight w:val="none"/>
        </w:rPr>
        <w:t>是，</w:t>
      </w:r>
      <w:r>
        <w:rPr>
          <w:rFonts w:hint="eastAsia" w:ascii="宋体" w:hAnsi="宋体" w:eastAsia="宋体" w:cs="宋体"/>
          <w:bCs/>
          <w:color w:val="auto"/>
          <w:sz w:val="24"/>
          <w:szCs w:val="24"/>
          <w:highlight w:val="none"/>
          <w:u w:val="single"/>
        </w:rPr>
        <w:t>（应明确对被破坏的检测产品的处理方式）</w:t>
      </w:r>
    </w:p>
    <w:p w14:paraId="66099CD1">
      <w:pPr>
        <w:adjustRightInd w:val="0"/>
        <w:snapToGrid w:val="0"/>
        <w:spacing w:line="360" w:lineRule="auto"/>
        <w:ind w:firstLine="960" w:firstLineChars="4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 xml:space="preserve">                   </w:t>
      </w:r>
      <w:r>
        <w:rPr>
          <w:rFonts w:hint="eastAsia" w:ascii="宋体" w:hAnsi="宋体" w:eastAsia="宋体" w:cs="宋体"/>
          <w:color w:val="auto"/>
          <w:sz w:val="24"/>
          <w:szCs w:val="24"/>
          <w:highlight w:val="none"/>
        </w:rPr>
        <w:t>√</w:t>
      </w:r>
      <w:r>
        <w:rPr>
          <w:rFonts w:hint="eastAsia" w:ascii="宋体" w:hAnsi="宋体" w:eastAsia="宋体" w:cs="宋体"/>
          <w:bCs/>
          <w:color w:val="auto"/>
          <w:sz w:val="24"/>
          <w:szCs w:val="24"/>
          <w:highlight w:val="none"/>
        </w:rPr>
        <w:t>否</w:t>
      </w:r>
    </w:p>
    <w:p w14:paraId="19D1DE83">
      <w:pPr>
        <w:adjustRightInd w:val="0"/>
        <w:snapToGrid w:val="0"/>
        <w:spacing w:line="360" w:lineRule="auto"/>
        <w:ind w:firstLine="960" w:firstLineChars="4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验收组织的其他事项：</w:t>
      </w:r>
      <w:r>
        <w:rPr>
          <w:rFonts w:hint="eastAsia" w:ascii="宋体" w:hAnsi="宋体" w:eastAsia="宋体" w:cs="宋体"/>
          <w:bCs/>
          <w:color w:val="auto"/>
          <w:sz w:val="24"/>
          <w:szCs w:val="24"/>
          <w:highlight w:val="none"/>
          <w:u w:val="single"/>
        </w:rPr>
        <w:t xml:space="preserve"> /  </w:t>
      </w:r>
    </w:p>
    <w:p w14:paraId="2352003D">
      <w:pPr>
        <w:adjustRightInd w:val="0"/>
        <w:snapToGrid w:val="0"/>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（2）履约验收时间：</w:t>
      </w:r>
      <w:r>
        <w:rPr>
          <w:rFonts w:hint="eastAsia" w:ascii="宋体" w:hAnsi="宋体" w:eastAsia="宋体" w:cs="宋体"/>
          <w:bCs/>
          <w:color w:val="auto"/>
          <w:sz w:val="24"/>
          <w:szCs w:val="24"/>
          <w:highlight w:val="none"/>
          <w:u w:val="single"/>
        </w:rPr>
        <w:t>供应商提出验收申请之日起   日内组织验收</w:t>
      </w:r>
    </w:p>
    <w:p w14:paraId="1BDFE3ED">
      <w:pPr>
        <w:adjustRightInd w:val="0"/>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（3）履约验收方式：</w:t>
      </w:r>
      <w:r>
        <w:rPr>
          <w:rFonts w:hint="eastAsia" w:ascii="宋体" w:hAnsi="宋体" w:eastAsia="宋体" w:cs="宋体"/>
          <w:color w:val="auto"/>
          <w:sz w:val="24"/>
          <w:szCs w:val="24"/>
          <w:highlight w:val="none"/>
        </w:rPr>
        <w:t>√</w:t>
      </w:r>
      <w:r>
        <w:rPr>
          <w:rFonts w:hint="eastAsia" w:ascii="宋体" w:hAnsi="宋体" w:eastAsia="宋体" w:cs="宋体"/>
          <w:bCs/>
          <w:color w:val="auto"/>
          <w:sz w:val="24"/>
          <w:szCs w:val="24"/>
          <w:highlight w:val="none"/>
        </w:rPr>
        <w:t xml:space="preserve">一次性验收         </w:t>
      </w:r>
    </w:p>
    <w:p w14:paraId="7737C4AD">
      <w:pPr>
        <w:adjustRightInd w:val="0"/>
        <w:snapToGrid w:val="0"/>
        <w:spacing w:line="360" w:lineRule="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 xml:space="preserve">                       </w:t>
      </w:r>
      <w:r>
        <w:rPr>
          <w:rFonts w:hint="eastAsia" w:ascii="宋体" w:hAnsi="宋体" w:eastAsia="宋体" w:cs="宋体"/>
          <w:color w:val="auto"/>
          <w:sz w:val="24"/>
          <w:szCs w:val="24"/>
          <w:highlight w:val="none"/>
        </w:rPr>
        <w:sym w:font="Wingdings" w:char="00A8"/>
      </w:r>
      <w:r>
        <w:rPr>
          <w:rFonts w:hint="eastAsia" w:ascii="宋体" w:hAnsi="宋体" w:eastAsia="宋体" w:cs="宋体"/>
          <w:bCs/>
          <w:color w:val="auto"/>
          <w:sz w:val="24"/>
          <w:szCs w:val="24"/>
          <w:highlight w:val="none"/>
        </w:rPr>
        <w:t>分期/分项验收：</w:t>
      </w:r>
      <w:r>
        <w:rPr>
          <w:rFonts w:hint="eastAsia" w:ascii="宋体" w:hAnsi="宋体" w:eastAsia="宋体" w:cs="宋体"/>
          <w:bCs/>
          <w:color w:val="auto"/>
          <w:sz w:val="24"/>
          <w:szCs w:val="24"/>
          <w:highlight w:val="none"/>
          <w:u w:val="single"/>
        </w:rPr>
        <w:t xml:space="preserve"> （应明确分期/分项验收的工作安排）  </w:t>
      </w:r>
    </w:p>
    <w:p w14:paraId="318108ED">
      <w:pPr>
        <w:adjustRightInd w:val="0"/>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（4）履约验收程序：</w:t>
      </w:r>
      <w:r>
        <w:rPr>
          <w:rFonts w:hint="eastAsia" w:ascii="宋体" w:hAnsi="宋体" w:eastAsia="宋体" w:cs="宋体"/>
          <w:bCs/>
          <w:color w:val="auto"/>
          <w:sz w:val="24"/>
          <w:szCs w:val="24"/>
          <w:highlight w:val="none"/>
          <w:u w:val="single"/>
        </w:rPr>
        <w:t>安装调试完成后，采购人自行组织验收；如需要则组织第三方验收。</w:t>
      </w:r>
    </w:p>
    <w:p w14:paraId="3E402B1D">
      <w:pPr>
        <w:adjustRightInd w:val="0"/>
        <w:snapToGrid w:val="0"/>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（5）履约验收的内容：</w:t>
      </w:r>
      <w:r>
        <w:rPr>
          <w:rFonts w:hint="eastAsia" w:ascii="宋体" w:hAnsi="宋体" w:eastAsia="宋体" w:cs="宋体"/>
          <w:bCs/>
          <w:color w:val="auto"/>
          <w:sz w:val="24"/>
          <w:szCs w:val="24"/>
          <w:highlight w:val="none"/>
          <w:u w:val="single"/>
        </w:rPr>
        <w:t>每一项技术和商务要求的履约情况，特别是落实政府采购扶持中小企业，支持绿色发展和乡村振兴等政策情况。</w:t>
      </w:r>
    </w:p>
    <w:p w14:paraId="3EC2C829">
      <w:pPr>
        <w:adjustRightInd w:val="0"/>
        <w:snapToGrid w:val="0"/>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（6）履约验收标准：</w:t>
      </w:r>
      <w:r>
        <w:rPr>
          <w:rFonts w:hint="eastAsia" w:ascii="宋体" w:hAnsi="宋体" w:eastAsia="宋体" w:cs="宋体"/>
          <w:bCs/>
          <w:color w:val="auto"/>
          <w:sz w:val="24"/>
          <w:szCs w:val="24"/>
          <w:highlight w:val="none"/>
          <w:u w:val="single"/>
        </w:rPr>
        <w:t xml:space="preserve">  国家相关规定以及乙方响应内容  </w:t>
      </w:r>
    </w:p>
    <w:p w14:paraId="51859174">
      <w:pPr>
        <w:pStyle w:val="62"/>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（7）是否以采购活动中供应商提供的样品作为参考：</w:t>
      </w:r>
      <w:r>
        <w:rPr>
          <w:rFonts w:hint="eastAsia" w:ascii="宋体" w:hAnsi="宋体" w:eastAsia="宋体" w:cs="宋体"/>
          <w:color w:val="auto"/>
          <w:sz w:val="24"/>
          <w:szCs w:val="24"/>
          <w:highlight w:val="none"/>
        </w:rPr>
        <w:sym w:font="Wingdings" w:char="00A8"/>
      </w:r>
      <w:r>
        <w:rPr>
          <w:rFonts w:hint="eastAsia" w:ascii="宋体" w:hAnsi="宋体" w:eastAsia="宋体" w:cs="宋体"/>
          <w:bCs/>
          <w:color w:val="auto"/>
          <w:sz w:val="24"/>
          <w:szCs w:val="24"/>
          <w:highlight w:val="none"/>
        </w:rPr>
        <w:t xml:space="preserve">是  </w:t>
      </w:r>
      <w:r>
        <w:rPr>
          <w:rFonts w:hint="eastAsia" w:ascii="宋体" w:hAnsi="宋体" w:eastAsia="宋体" w:cs="宋体"/>
          <w:color w:val="auto"/>
          <w:sz w:val="24"/>
          <w:szCs w:val="24"/>
          <w:highlight w:val="none"/>
        </w:rPr>
        <w:t>√</w:t>
      </w:r>
      <w:r>
        <w:rPr>
          <w:rFonts w:hint="eastAsia" w:ascii="宋体" w:hAnsi="宋体" w:eastAsia="宋体" w:cs="宋体"/>
          <w:bCs/>
          <w:color w:val="auto"/>
          <w:sz w:val="24"/>
          <w:szCs w:val="24"/>
          <w:highlight w:val="none"/>
        </w:rPr>
        <w:t>否</w:t>
      </w:r>
    </w:p>
    <w:p w14:paraId="0C29F0B3">
      <w:pPr>
        <w:adjustRightInd w:val="0"/>
        <w:snapToGrid w:val="0"/>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（8）履约验收其他事项：</w:t>
      </w:r>
      <w:r>
        <w:rPr>
          <w:rFonts w:hint="eastAsia" w:ascii="宋体" w:hAnsi="宋体" w:eastAsia="宋体" w:cs="宋体"/>
          <w:bCs/>
          <w:color w:val="auto"/>
          <w:sz w:val="24"/>
          <w:szCs w:val="24"/>
          <w:highlight w:val="none"/>
          <w:u w:val="single"/>
        </w:rPr>
        <w:t xml:space="preserve"> / </w:t>
      </w:r>
    </w:p>
    <w:p w14:paraId="4003C989">
      <w:pPr>
        <w:numPr>
          <w:ilvl w:val="0"/>
          <w:numId w:val="2"/>
        </w:numPr>
        <w:adjustRightInd w:val="0"/>
        <w:snapToGrid w:val="0"/>
        <w:spacing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组成合同的文件</w:t>
      </w:r>
    </w:p>
    <w:p w14:paraId="6C5763AF">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本协议书与下列文件一起构成合同文件，如下述文件之间有任何抵触、矛盾或歧义，应按以下顺序解释：</w:t>
      </w:r>
    </w:p>
    <w:p w14:paraId="6F982563">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（1）政府采购合同协议书及其变更、补充协议</w:t>
      </w:r>
    </w:p>
    <w:p w14:paraId="3ADF27B3">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（2）政府采购合同专用条款</w:t>
      </w:r>
    </w:p>
    <w:p w14:paraId="1E02C4B0">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（3）政府采购合同通用条款</w:t>
      </w:r>
    </w:p>
    <w:p w14:paraId="6B40526D">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（4）中标（成交）通知书</w:t>
      </w:r>
    </w:p>
    <w:p w14:paraId="1DA70C2C">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（5）投标（响应）文件</w:t>
      </w:r>
    </w:p>
    <w:p w14:paraId="2C8AAF1B">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（6）采购文件</w:t>
      </w:r>
    </w:p>
    <w:p w14:paraId="5F6C5E59">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（7）有关技术文件，图纸</w:t>
      </w:r>
    </w:p>
    <w:p w14:paraId="5B6C575E">
      <w:pPr>
        <w:pStyle w:val="62"/>
        <w:spacing w:line="360" w:lineRule="auto"/>
        <w:ind w:firstLine="480"/>
        <w:rPr>
          <w:rFonts w:hint="eastAsia" w:ascii="宋体" w:hAnsi="宋体" w:eastAsia="宋体" w:cs="宋体"/>
          <w:color w:val="auto"/>
          <w:kern w:val="2"/>
          <w:sz w:val="24"/>
          <w:szCs w:val="24"/>
          <w:highlight w:val="none"/>
        </w:rPr>
      </w:pPr>
      <w:r>
        <w:rPr>
          <w:rFonts w:hint="eastAsia" w:ascii="宋体" w:hAnsi="宋体" w:eastAsia="宋体" w:cs="宋体"/>
          <w:color w:val="auto"/>
          <w:sz w:val="24"/>
          <w:szCs w:val="24"/>
          <w:highlight w:val="none"/>
        </w:rPr>
        <w:t>（8）</w:t>
      </w:r>
      <w:r>
        <w:rPr>
          <w:rFonts w:hint="eastAsia" w:ascii="宋体" w:hAnsi="宋体" w:eastAsia="宋体" w:cs="宋体"/>
          <w:color w:val="auto"/>
          <w:kern w:val="2"/>
          <w:sz w:val="24"/>
          <w:szCs w:val="24"/>
          <w:highlight w:val="none"/>
        </w:rPr>
        <w:t>国家法律、行政法规和规章制度规定或合同约定的作为合同组成部分的其他文件</w:t>
      </w:r>
    </w:p>
    <w:p w14:paraId="6660A596">
      <w:pPr>
        <w:numPr>
          <w:ilvl w:val="0"/>
          <w:numId w:val="2"/>
        </w:numPr>
        <w:adjustRightInd w:val="0"/>
        <w:snapToGrid w:val="0"/>
        <w:spacing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合同生效</w:t>
      </w:r>
    </w:p>
    <w:p w14:paraId="24BD4FAC">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本合同自</w:t>
      </w:r>
      <w:r>
        <w:rPr>
          <w:rFonts w:hint="eastAsia" w:ascii="宋体" w:hAnsi="宋体" w:eastAsia="宋体" w:cs="宋体"/>
          <w:color w:val="auto"/>
          <w:sz w:val="24"/>
          <w:szCs w:val="24"/>
          <w:highlight w:val="none"/>
          <w:u w:val="single"/>
        </w:rPr>
        <w:t xml:space="preserve"> 甲乙双方签字盖章之日 </w:t>
      </w:r>
      <w:r>
        <w:rPr>
          <w:rFonts w:hint="eastAsia" w:ascii="宋体" w:hAnsi="宋体" w:eastAsia="宋体" w:cs="宋体"/>
          <w:color w:val="auto"/>
          <w:sz w:val="24"/>
          <w:szCs w:val="24"/>
          <w:highlight w:val="none"/>
        </w:rPr>
        <w:t>生效。</w:t>
      </w:r>
    </w:p>
    <w:p w14:paraId="0DA64DB5">
      <w:pPr>
        <w:numPr>
          <w:ilvl w:val="0"/>
          <w:numId w:val="2"/>
        </w:numPr>
        <w:adjustRightInd w:val="0"/>
        <w:snapToGrid w:val="0"/>
        <w:spacing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合同份数</w:t>
      </w:r>
    </w:p>
    <w:p w14:paraId="3FFFD286">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本合同一式</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份，甲方执</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份，乙方执</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份，均具有同等法律效力。</w:t>
      </w:r>
    </w:p>
    <w:p w14:paraId="543C3A3E">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合同订立时间：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w:t>
      </w:r>
    </w:p>
    <w:p w14:paraId="25933504">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合同订立地点：</w:t>
      </w:r>
      <w:r>
        <w:rPr>
          <w:rFonts w:hint="eastAsia" w:ascii="宋体" w:hAnsi="宋体" w:eastAsia="宋体" w:cs="宋体"/>
          <w:color w:val="auto"/>
          <w:sz w:val="24"/>
          <w:szCs w:val="24"/>
          <w:highlight w:val="none"/>
          <w:u w:val="single"/>
        </w:rPr>
        <w:t xml:space="preserve">                           </w:t>
      </w:r>
    </w:p>
    <w:p w14:paraId="1B65A1CA">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附件：具体标的及其技术要求和商务要求、联合协议、分包意向协议等。</w:t>
      </w:r>
    </w:p>
    <w:p w14:paraId="24FC72DD">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br w:type="page"/>
      </w:r>
    </w:p>
    <w:p w14:paraId="03CF4FC5">
      <w:pPr>
        <w:pStyle w:val="63"/>
        <w:spacing w:line="360" w:lineRule="auto"/>
        <w:ind w:firstLine="480"/>
        <w:rPr>
          <w:rFonts w:hint="eastAsia" w:ascii="宋体" w:hAnsi="宋体" w:eastAsia="宋体" w:cs="宋体"/>
          <w:color w:val="auto"/>
          <w:sz w:val="24"/>
          <w:szCs w:val="24"/>
          <w:highlight w:val="none"/>
        </w:rPr>
      </w:pPr>
    </w:p>
    <w:tbl>
      <w:tblPr>
        <w:tblStyle w:val="25"/>
        <w:tblW w:w="9209" w:type="dxa"/>
        <w:tblInd w:w="0" w:type="dxa"/>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Layout w:type="fixed"/>
        <w:tblCellMar>
          <w:top w:w="0" w:type="dxa"/>
          <w:left w:w="108" w:type="dxa"/>
          <w:bottom w:w="0" w:type="dxa"/>
          <w:right w:w="108" w:type="dxa"/>
        </w:tblCellMar>
      </w:tblPr>
      <w:tblGrid>
        <w:gridCol w:w="2073"/>
        <w:gridCol w:w="2645"/>
        <w:gridCol w:w="2170"/>
        <w:gridCol w:w="2321"/>
      </w:tblGrid>
      <w:tr w14:paraId="263A648D">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90" w:hRule="atLeast"/>
        </w:trPr>
        <w:tc>
          <w:tcPr>
            <w:tcW w:w="4718" w:type="dxa"/>
            <w:gridSpan w:val="2"/>
            <w:tcBorders>
              <w:bottom w:val="single" w:color="auto" w:sz="2" w:space="0"/>
              <w:right w:val="single" w:color="auto" w:sz="2" w:space="0"/>
            </w:tcBorders>
            <w:vAlign w:val="center"/>
          </w:tcPr>
          <w:p w14:paraId="4333F6FB">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甲方（采购人、受采购人委托签订合同的单位或采购文件约定的合同甲方）</w:t>
            </w:r>
          </w:p>
        </w:tc>
        <w:tc>
          <w:tcPr>
            <w:tcW w:w="4491" w:type="dxa"/>
            <w:gridSpan w:val="2"/>
            <w:tcBorders>
              <w:left w:val="single" w:color="auto" w:sz="2" w:space="0"/>
              <w:bottom w:val="single" w:color="auto" w:sz="2" w:space="0"/>
            </w:tcBorders>
            <w:vAlign w:val="center"/>
          </w:tcPr>
          <w:p w14:paraId="3B96E0C9">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乙方（供应商）</w:t>
            </w:r>
          </w:p>
        </w:tc>
      </w:tr>
      <w:tr w14:paraId="7A7A8E14">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17" w:hRule="atLeast"/>
        </w:trPr>
        <w:tc>
          <w:tcPr>
            <w:tcW w:w="2073" w:type="dxa"/>
            <w:tcBorders>
              <w:top w:val="single" w:color="auto" w:sz="2" w:space="0"/>
              <w:bottom w:val="single" w:color="auto" w:sz="2" w:space="0"/>
              <w:right w:val="single" w:color="auto" w:sz="2" w:space="0"/>
            </w:tcBorders>
            <w:vAlign w:val="center"/>
          </w:tcPr>
          <w:p w14:paraId="29302D6C">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单位名称（公章或合同章）</w:t>
            </w:r>
          </w:p>
        </w:tc>
        <w:tc>
          <w:tcPr>
            <w:tcW w:w="2645" w:type="dxa"/>
            <w:tcBorders>
              <w:top w:val="single" w:color="auto" w:sz="2" w:space="0"/>
              <w:left w:val="single" w:color="auto" w:sz="2" w:space="0"/>
              <w:bottom w:val="single" w:color="auto" w:sz="2" w:space="0"/>
              <w:right w:val="single" w:color="auto" w:sz="2" w:space="0"/>
            </w:tcBorders>
            <w:vAlign w:val="center"/>
          </w:tcPr>
          <w:p w14:paraId="384B448D">
            <w:pPr>
              <w:adjustRightInd w:val="0"/>
              <w:snapToGrid w:val="0"/>
              <w:spacing w:line="360" w:lineRule="auto"/>
              <w:jc w:val="center"/>
              <w:rPr>
                <w:rFonts w:hint="eastAsia" w:ascii="宋体" w:hAnsi="宋体" w:eastAsia="宋体" w:cs="宋体"/>
                <w:color w:val="auto"/>
                <w:sz w:val="24"/>
                <w:szCs w:val="24"/>
                <w:highlight w:val="none"/>
              </w:rPr>
            </w:pPr>
          </w:p>
        </w:tc>
        <w:tc>
          <w:tcPr>
            <w:tcW w:w="2170" w:type="dxa"/>
            <w:tcBorders>
              <w:top w:val="single" w:color="auto" w:sz="2" w:space="0"/>
              <w:left w:val="single" w:color="auto" w:sz="2" w:space="0"/>
              <w:bottom w:val="single" w:color="auto" w:sz="2" w:space="0"/>
              <w:right w:val="single" w:color="auto" w:sz="2" w:space="0"/>
            </w:tcBorders>
            <w:vAlign w:val="center"/>
          </w:tcPr>
          <w:p w14:paraId="3A91B787">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单位名称（公章或合同章）</w:t>
            </w:r>
          </w:p>
        </w:tc>
        <w:tc>
          <w:tcPr>
            <w:tcW w:w="2321" w:type="dxa"/>
            <w:tcBorders>
              <w:top w:val="single" w:color="auto" w:sz="2" w:space="0"/>
              <w:left w:val="single" w:color="auto" w:sz="2" w:space="0"/>
              <w:bottom w:val="single" w:color="auto" w:sz="2" w:space="0"/>
            </w:tcBorders>
            <w:vAlign w:val="center"/>
          </w:tcPr>
          <w:p w14:paraId="033A9BE0">
            <w:pPr>
              <w:adjustRightInd w:val="0"/>
              <w:snapToGrid w:val="0"/>
              <w:spacing w:line="360" w:lineRule="auto"/>
              <w:jc w:val="center"/>
              <w:rPr>
                <w:rFonts w:hint="eastAsia" w:ascii="宋体" w:hAnsi="宋体" w:eastAsia="宋体" w:cs="宋体"/>
                <w:color w:val="auto"/>
                <w:spacing w:val="20"/>
                <w:sz w:val="24"/>
                <w:szCs w:val="24"/>
                <w:highlight w:val="none"/>
              </w:rPr>
            </w:pPr>
          </w:p>
        </w:tc>
      </w:tr>
      <w:tr w14:paraId="4F89CD7D">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1171" w:hRule="atLeast"/>
        </w:trPr>
        <w:tc>
          <w:tcPr>
            <w:tcW w:w="2073" w:type="dxa"/>
            <w:vMerge w:val="restart"/>
            <w:tcBorders>
              <w:top w:val="single" w:color="auto" w:sz="2" w:space="0"/>
              <w:right w:val="single" w:color="auto" w:sz="2" w:space="0"/>
            </w:tcBorders>
            <w:vAlign w:val="center"/>
          </w:tcPr>
          <w:p w14:paraId="4AA98DD4">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w:t>
            </w:r>
          </w:p>
          <w:p w14:paraId="65B2D275">
            <w:pPr>
              <w:adjustRightInd w:val="0"/>
              <w:snapToGrid w:val="0"/>
              <w:spacing w:line="360" w:lineRule="auto"/>
              <w:ind w:firstLine="115" w:firstLineChars="48"/>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或其委托代理人（签章）</w:t>
            </w:r>
          </w:p>
        </w:tc>
        <w:tc>
          <w:tcPr>
            <w:tcW w:w="2645" w:type="dxa"/>
            <w:vMerge w:val="restart"/>
            <w:tcBorders>
              <w:top w:val="single" w:color="auto" w:sz="2" w:space="0"/>
              <w:left w:val="single" w:color="auto" w:sz="2" w:space="0"/>
              <w:right w:val="single" w:color="auto" w:sz="2" w:space="0"/>
            </w:tcBorders>
            <w:vAlign w:val="center"/>
          </w:tcPr>
          <w:p w14:paraId="1840C78B">
            <w:pPr>
              <w:adjustRightInd w:val="0"/>
              <w:snapToGrid w:val="0"/>
              <w:spacing w:line="360" w:lineRule="auto"/>
              <w:jc w:val="center"/>
              <w:rPr>
                <w:rFonts w:hint="eastAsia" w:ascii="宋体" w:hAnsi="宋体" w:eastAsia="宋体" w:cs="宋体"/>
                <w:color w:val="auto"/>
                <w:sz w:val="24"/>
                <w:szCs w:val="24"/>
                <w:highlight w:val="none"/>
              </w:rPr>
            </w:pPr>
          </w:p>
        </w:tc>
        <w:tc>
          <w:tcPr>
            <w:tcW w:w="2170" w:type="dxa"/>
            <w:tcBorders>
              <w:top w:val="single" w:color="auto" w:sz="2" w:space="0"/>
              <w:left w:val="single" w:color="auto" w:sz="2" w:space="0"/>
              <w:right w:val="single" w:color="auto" w:sz="2" w:space="0"/>
            </w:tcBorders>
            <w:vAlign w:val="center"/>
          </w:tcPr>
          <w:p w14:paraId="0833EEB3">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w:t>
            </w:r>
          </w:p>
          <w:p w14:paraId="4B58FC47">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或其委托代理人（签章）</w:t>
            </w:r>
          </w:p>
        </w:tc>
        <w:tc>
          <w:tcPr>
            <w:tcW w:w="2321" w:type="dxa"/>
            <w:tcBorders>
              <w:top w:val="single" w:color="auto" w:sz="2" w:space="0"/>
              <w:left w:val="single" w:color="auto" w:sz="2" w:space="0"/>
              <w:bottom w:val="single" w:color="auto" w:sz="2" w:space="0"/>
            </w:tcBorders>
            <w:vAlign w:val="center"/>
          </w:tcPr>
          <w:p w14:paraId="2FD312ED">
            <w:pPr>
              <w:adjustRightInd w:val="0"/>
              <w:snapToGrid w:val="0"/>
              <w:spacing w:line="360" w:lineRule="auto"/>
              <w:jc w:val="center"/>
              <w:rPr>
                <w:rFonts w:hint="eastAsia" w:ascii="宋体" w:hAnsi="宋体" w:eastAsia="宋体" w:cs="宋体"/>
                <w:color w:val="auto"/>
                <w:sz w:val="24"/>
                <w:szCs w:val="24"/>
                <w:highlight w:val="none"/>
              </w:rPr>
            </w:pPr>
          </w:p>
        </w:tc>
      </w:tr>
      <w:tr w14:paraId="0679AC5F">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2073" w:type="dxa"/>
            <w:vMerge w:val="continue"/>
            <w:tcBorders>
              <w:bottom w:val="single" w:color="auto" w:sz="2" w:space="0"/>
              <w:right w:val="single" w:color="auto" w:sz="2" w:space="0"/>
            </w:tcBorders>
            <w:vAlign w:val="center"/>
          </w:tcPr>
          <w:p w14:paraId="749D0182">
            <w:pPr>
              <w:adjustRightInd w:val="0"/>
              <w:snapToGrid w:val="0"/>
              <w:spacing w:line="360" w:lineRule="auto"/>
              <w:jc w:val="center"/>
              <w:rPr>
                <w:rFonts w:hint="eastAsia" w:ascii="宋体" w:hAnsi="宋体" w:eastAsia="宋体" w:cs="宋体"/>
                <w:color w:val="auto"/>
                <w:sz w:val="24"/>
                <w:szCs w:val="24"/>
                <w:highlight w:val="none"/>
              </w:rPr>
            </w:pPr>
          </w:p>
        </w:tc>
        <w:tc>
          <w:tcPr>
            <w:tcW w:w="2645" w:type="dxa"/>
            <w:vMerge w:val="continue"/>
            <w:tcBorders>
              <w:left w:val="single" w:color="auto" w:sz="2" w:space="0"/>
              <w:bottom w:val="single" w:color="auto" w:sz="2" w:space="0"/>
              <w:right w:val="single" w:color="auto" w:sz="2" w:space="0"/>
            </w:tcBorders>
            <w:vAlign w:val="center"/>
          </w:tcPr>
          <w:p w14:paraId="464FD4E8">
            <w:pPr>
              <w:adjustRightInd w:val="0"/>
              <w:snapToGrid w:val="0"/>
              <w:spacing w:line="360" w:lineRule="auto"/>
              <w:jc w:val="center"/>
              <w:rPr>
                <w:rFonts w:hint="eastAsia" w:ascii="宋体" w:hAnsi="宋体" w:eastAsia="宋体" w:cs="宋体"/>
                <w:color w:val="auto"/>
                <w:sz w:val="24"/>
                <w:szCs w:val="24"/>
                <w:highlight w:val="none"/>
              </w:rPr>
            </w:pPr>
          </w:p>
        </w:tc>
        <w:tc>
          <w:tcPr>
            <w:tcW w:w="2170" w:type="dxa"/>
            <w:tcBorders>
              <w:top w:val="single" w:color="auto" w:sz="2" w:space="0"/>
              <w:left w:val="single" w:color="auto" w:sz="2" w:space="0"/>
              <w:bottom w:val="single" w:color="auto" w:sz="2" w:space="0"/>
              <w:right w:val="single" w:color="auto" w:sz="2" w:space="0"/>
            </w:tcBorders>
            <w:vAlign w:val="center"/>
          </w:tcPr>
          <w:p w14:paraId="7FA7ABB5">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拥有者性别</w:t>
            </w:r>
          </w:p>
        </w:tc>
        <w:tc>
          <w:tcPr>
            <w:tcW w:w="2321" w:type="dxa"/>
            <w:tcBorders>
              <w:top w:val="single" w:color="auto" w:sz="2" w:space="0"/>
              <w:left w:val="single" w:color="auto" w:sz="2" w:space="0"/>
              <w:bottom w:val="single" w:color="auto" w:sz="2" w:space="0"/>
            </w:tcBorders>
            <w:vAlign w:val="center"/>
          </w:tcPr>
          <w:p w14:paraId="5E734061">
            <w:pPr>
              <w:adjustRightInd w:val="0"/>
              <w:snapToGrid w:val="0"/>
              <w:spacing w:line="360" w:lineRule="auto"/>
              <w:jc w:val="center"/>
              <w:rPr>
                <w:rFonts w:hint="eastAsia" w:ascii="宋体" w:hAnsi="宋体" w:eastAsia="宋体" w:cs="宋体"/>
                <w:color w:val="auto"/>
                <w:spacing w:val="20"/>
                <w:sz w:val="24"/>
                <w:szCs w:val="24"/>
                <w:highlight w:val="none"/>
              </w:rPr>
            </w:pPr>
          </w:p>
        </w:tc>
      </w:tr>
      <w:tr w14:paraId="2CDB06FF">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2073" w:type="dxa"/>
            <w:tcBorders>
              <w:top w:val="single" w:color="auto" w:sz="2" w:space="0"/>
              <w:bottom w:val="single" w:color="auto" w:sz="2" w:space="0"/>
              <w:right w:val="single" w:color="auto" w:sz="2" w:space="0"/>
            </w:tcBorders>
            <w:vAlign w:val="center"/>
          </w:tcPr>
          <w:p w14:paraId="04D677E8">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住  所</w:t>
            </w:r>
          </w:p>
        </w:tc>
        <w:tc>
          <w:tcPr>
            <w:tcW w:w="2645" w:type="dxa"/>
            <w:tcBorders>
              <w:top w:val="single" w:color="auto" w:sz="2" w:space="0"/>
              <w:left w:val="single" w:color="auto" w:sz="2" w:space="0"/>
              <w:bottom w:val="single" w:color="auto" w:sz="2" w:space="0"/>
              <w:right w:val="single" w:color="auto" w:sz="2" w:space="0"/>
            </w:tcBorders>
            <w:vAlign w:val="center"/>
          </w:tcPr>
          <w:p w14:paraId="32C2A605">
            <w:pPr>
              <w:adjustRightInd w:val="0"/>
              <w:snapToGrid w:val="0"/>
              <w:spacing w:line="360" w:lineRule="auto"/>
              <w:jc w:val="center"/>
              <w:rPr>
                <w:rFonts w:hint="eastAsia" w:ascii="宋体" w:hAnsi="宋体" w:eastAsia="宋体" w:cs="宋体"/>
                <w:color w:val="auto"/>
                <w:sz w:val="24"/>
                <w:szCs w:val="24"/>
                <w:highlight w:val="none"/>
              </w:rPr>
            </w:pPr>
          </w:p>
        </w:tc>
        <w:tc>
          <w:tcPr>
            <w:tcW w:w="2170" w:type="dxa"/>
            <w:tcBorders>
              <w:top w:val="single" w:color="auto" w:sz="2" w:space="0"/>
              <w:left w:val="single" w:color="auto" w:sz="2" w:space="0"/>
              <w:bottom w:val="single" w:color="auto" w:sz="2" w:space="0"/>
              <w:right w:val="single" w:color="auto" w:sz="2" w:space="0"/>
            </w:tcBorders>
            <w:vAlign w:val="center"/>
          </w:tcPr>
          <w:p w14:paraId="7067E422">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住  所</w:t>
            </w:r>
          </w:p>
        </w:tc>
        <w:tc>
          <w:tcPr>
            <w:tcW w:w="2321" w:type="dxa"/>
            <w:tcBorders>
              <w:top w:val="single" w:color="auto" w:sz="2" w:space="0"/>
              <w:left w:val="single" w:color="auto" w:sz="2" w:space="0"/>
              <w:bottom w:val="single" w:color="auto" w:sz="2" w:space="0"/>
            </w:tcBorders>
            <w:vAlign w:val="center"/>
          </w:tcPr>
          <w:p w14:paraId="5CA7CFC8">
            <w:pPr>
              <w:adjustRightInd w:val="0"/>
              <w:snapToGrid w:val="0"/>
              <w:spacing w:line="360" w:lineRule="auto"/>
              <w:jc w:val="center"/>
              <w:rPr>
                <w:rFonts w:hint="eastAsia" w:ascii="宋体" w:hAnsi="宋体" w:eastAsia="宋体" w:cs="宋体"/>
                <w:color w:val="auto"/>
                <w:spacing w:val="20"/>
                <w:sz w:val="24"/>
                <w:szCs w:val="24"/>
                <w:highlight w:val="none"/>
              </w:rPr>
            </w:pPr>
          </w:p>
        </w:tc>
      </w:tr>
      <w:tr w14:paraId="5F7889B5">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2073" w:type="dxa"/>
            <w:tcBorders>
              <w:top w:val="single" w:color="auto" w:sz="2" w:space="0"/>
              <w:bottom w:val="single" w:color="auto" w:sz="2" w:space="0"/>
              <w:right w:val="single" w:color="auto" w:sz="2" w:space="0"/>
            </w:tcBorders>
            <w:vAlign w:val="center"/>
          </w:tcPr>
          <w:p w14:paraId="69A82838">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 系 人</w:t>
            </w:r>
          </w:p>
        </w:tc>
        <w:tc>
          <w:tcPr>
            <w:tcW w:w="2645" w:type="dxa"/>
            <w:tcBorders>
              <w:top w:val="single" w:color="auto" w:sz="2" w:space="0"/>
              <w:left w:val="single" w:color="auto" w:sz="2" w:space="0"/>
              <w:bottom w:val="single" w:color="auto" w:sz="2" w:space="0"/>
              <w:right w:val="single" w:color="auto" w:sz="2" w:space="0"/>
            </w:tcBorders>
            <w:vAlign w:val="center"/>
          </w:tcPr>
          <w:p w14:paraId="731BE666">
            <w:pPr>
              <w:adjustRightInd w:val="0"/>
              <w:snapToGrid w:val="0"/>
              <w:spacing w:line="360" w:lineRule="auto"/>
              <w:jc w:val="center"/>
              <w:rPr>
                <w:rFonts w:hint="eastAsia" w:ascii="宋体" w:hAnsi="宋体" w:eastAsia="宋体" w:cs="宋体"/>
                <w:color w:val="auto"/>
                <w:sz w:val="24"/>
                <w:szCs w:val="24"/>
                <w:highlight w:val="none"/>
              </w:rPr>
            </w:pPr>
          </w:p>
        </w:tc>
        <w:tc>
          <w:tcPr>
            <w:tcW w:w="2170" w:type="dxa"/>
            <w:tcBorders>
              <w:top w:val="single" w:color="auto" w:sz="2" w:space="0"/>
              <w:left w:val="single" w:color="auto" w:sz="2" w:space="0"/>
              <w:bottom w:val="single" w:color="auto" w:sz="2" w:space="0"/>
              <w:right w:val="single" w:color="auto" w:sz="2" w:space="0"/>
            </w:tcBorders>
            <w:vAlign w:val="center"/>
          </w:tcPr>
          <w:p w14:paraId="1062D324">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 系 人</w:t>
            </w:r>
          </w:p>
        </w:tc>
        <w:tc>
          <w:tcPr>
            <w:tcW w:w="2321" w:type="dxa"/>
            <w:tcBorders>
              <w:top w:val="single" w:color="auto" w:sz="2" w:space="0"/>
              <w:left w:val="single" w:color="auto" w:sz="2" w:space="0"/>
              <w:bottom w:val="single" w:color="auto" w:sz="2" w:space="0"/>
            </w:tcBorders>
            <w:vAlign w:val="center"/>
          </w:tcPr>
          <w:p w14:paraId="3A4AB7C3">
            <w:pPr>
              <w:adjustRightInd w:val="0"/>
              <w:snapToGrid w:val="0"/>
              <w:spacing w:line="360" w:lineRule="auto"/>
              <w:jc w:val="center"/>
              <w:rPr>
                <w:rFonts w:hint="eastAsia" w:ascii="宋体" w:hAnsi="宋体" w:eastAsia="宋体" w:cs="宋体"/>
                <w:color w:val="auto"/>
                <w:spacing w:val="20"/>
                <w:sz w:val="24"/>
                <w:szCs w:val="24"/>
                <w:highlight w:val="none"/>
              </w:rPr>
            </w:pPr>
          </w:p>
        </w:tc>
      </w:tr>
      <w:tr w14:paraId="451B0D0D">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2073" w:type="dxa"/>
            <w:tcBorders>
              <w:top w:val="single" w:color="auto" w:sz="2" w:space="0"/>
              <w:bottom w:val="single" w:color="auto" w:sz="2" w:space="0"/>
              <w:right w:val="single" w:color="auto" w:sz="2" w:space="0"/>
            </w:tcBorders>
            <w:vAlign w:val="center"/>
          </w:tcPr>
          <w:p w14:paraId="2E47C4BD">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联系电话</w:t>
            </w:r>
          </w:p>
        </w:tc>
        <w:tc>
          <w:tcPr>
            <w:tcW w:w="2645" w:type="dxa"/>
            <w:tcBorders>
              <w:top w:val="single" w:color="auto" w:sz="2" w:space="0"/>
              <w:left w:val="single" w:color="auto" w:sz="2" w:space="0"/>
              <w:bottom w:val="single" w:color="auto" w:sz="2" w:space="0"/>
              <w:right w:val="single" w:color="auto" w:sz="2" w:space="0"/>
            </w:tcBorders>
            <w:vAlign w:val="center"/>
          </w:tcPr>
          <w:p w14:paraId="1253544A">
            <w:pPr>
              <w:adjustRightInd w:val="0"/>
              <w:snapToGrid w:val="0"/>
              <w:spacing w:line="360" w:lineRule="auto"/>
              <w:jc w:val="center"/>
              <w:rPr>
                <w:rFonts w:hint="eastAsia" w:ascii="宋体" w:hAnsi="宋体" w:eastAsia="宋体" w:cs="宋体"/>
                <w:color w:val="auto"/>
                <w:sz w:val="24"/>
                <w:szCs w:val="24"/>
                <w:highlight w:val="none"/>
              </w:rPr>
            </w:pPr>
          </w:p>
        </w:tc>
        <w:tc>
          <w:tcPr>
            <w:tcW w:w="2170" w:type="dxa"/>
            <w:tcBorders>
              <w:top w:val="single" w:color="auto" w:sz="2" w:space="0"/>
              <w:left w:val="single" w:color="auto" w:sz="2" w:space="0"/>
              <w:bottom w:val="single" w:color="auto" w:sz="2" w:space="0"/>
              <w:right w:val="single" w:color="auto" w:sz="2" w:space="0"/>
            </w:tcBorders>
            <w:vAlign w:val="center"/>
          </w:tcPr>
          <w:p w14:paraId="21D55541">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联系电话</w:t>
            </w:r>
          </w:p>
        </w:tc>
        <w:tc>
          <w:tcPr>
            <w:tcW w:w="2321" w:type="dxa"/>
            <w:tcBorders>
              <w:top w:val="single" w:color="auto" w:sz="2" w:space="0"/>
              <w:left w:val="single" w:color="auto" w:sz="2" w:space="0"/>
              <w:bottom w:val="single" w:color="auto" w:sz="2" w:space="0"/>
            </w:tcBorders>
            <w:vAlign w:val="center"/>
          </w:tcPr>
          <w:p w14:paraId="10346533">
            <w:pPr>
              <w:adjustRightInd w:val="0"/>
              <w:snapToGrid w:val="0"/>
              <w:spacing w:line="360" w:lineRule="auto"/>
              <w:jc w:val="center"/>
              <w:rPr>
                <w:rFonts w:hint="eastAsia" w:ascii="宋体" w:hAnsi="宋体" w:eastAsia="宋体" w:cs="宋体"/>
                <w:color w:val="auto"/>
                <w:spacing w:val="20"/>
                <w:sz w:val="24"/>
                <w:szCs w:val="24"/>
                <w:highlight w:val="none"/>
              </w:rPr>
            </w:pPr>
          </w:p>
        </w:tc>
      </w:tr>
      <w:tr w14:paraId="574023F4">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2073" w:type="dxa"/>
            <w:tcBorders>
              <w:top w:val="single" w:color="auto" w:sz="2" w:space="0"/>
              <w:bottom w:val="single" w:color="auto" w:sz="2" w:space="0"/>
              <w:right w:val="single" w:color="auto" w:sz="2" w:space="0"/>
            </w:tcBorders>
            <w:vAlign w:val="center"/>
          </w:tcPr>
          <w:p w14:paraId="39D0760D">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通信地址</w:t>
            </w:r>
          </w:p>
        </w:tc>
        <w:tc>
          <w:tcPr>
            <w:tcW w:w="2645" w:type="dxa"/>
            <w:tcBorders>
              <w:top w:val="single" w:color="auto" w:sz="2" w:space="0"/>
              <w:left w:val="single" w:color="auto" w:sz="2" w:space="0"/>
              <w:bottom w:val="single" w:color="auto" w:sz="2" w:space="0"/>
              <w:right w:val="single" w:color="auto" w:sz="2" w:space="0"/>
            </w:tcBorders>
            <w:vAlign w:val="center"/>
          </w:tcPr>
          <w:p w14:paraId="0D4DB1C2">
            <w:pPr>
              <w:adjustRightInd w:val="0"/>
              <w:snapToGrid w:val="0"/>
              <w:spacing w:line="360" w:lineRule="auto"/>
              <w:jc w:val="center"/>
              <w:rPr>
                <w:rFonts w:hint="eastAsia" w:ascii="宋体" w:hAnsi="宋体" w:eastAsia="宋体" w:cs="宋体"/>
                <w:color w:val="auto"/>
                <w:sz w:val="24"/>
                <w:szCs w:val="24"/>
                <w:highlight w:val="none"/>
              </w:rPr>
            </w:pPr>
          </w:p>
        </w:tc>
        <w:tc>
          <w:tcPr>
            <w:tcW w:w="2170" w:type="dxa"/>
            <w:tcBorders>
              <w:top w:val="single" w:color="auto" w:sz="2" w:space="0"/>
              <w:left w:val="single" w:color="auto" w:sz="2" w:space="0"/>
              <w:bottom w:val="single" w:color="auto" w:sz="2" w:space="0"/>
              <w:right w:val="single" w:color="auto" w:sz="2" w:space="0"/>
            </w:tcBorders>
            <w:vAlign w:val="center"/>
          </w:tcPr>
          <w:p w14:paraId="78A91B91">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通信地址</w:t>
            </w:r>
          </w:p>
        </w:tc>
        <w:tc>
          <w:tcPr>
            <w:tcW w:w="2321" w:type="dxa"/>
            <w:tcBorders>
              <w:top w:val="single" w:color="auto" w:sz="2" w:space="0"/>
              <w:left w:val="single" w:color="auto" w:sz="2" w:space="0"/>
              <w:bottom w:val="single" w:color="auto" w:sz="2" w:space="0"/>
            </w:tcBorders>
            <w:vAlign w:val="center"/>
          </w:tcPr>
          <w:p w14:paraId="0A937D72">
            <w:pPr>
              <w:adjustRightInd w:val="0"/>
              <w:snapToGrid w:val="0"/>
              <w:spacing w:line="360" w:lineRule="auto"/>
              <w:jc w:val="center"/>
              <w:rPr>
                <w:rFonts w:hint="eastAsia" w:ascii="宋体" w:hAnsi="宋体" w:eastAsia="宋体" w:cs="宋体"/>
                <w:color w:val="auto"/>
                <w:spacing w:val="20"/>
                <w:sz w:val="24"/>
                <w:szCs w:val="24"/>
                <w:highlight w:val="none"/>
              </w:rPr>
            </w:pPr>
          </w:p>
        </w:tc>
      </w:tr>
      <w:tr w14:paraId="7B18F87B">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2073" w:type="dxa"/>
            <w:tcBorders>
              <w:top w:val="single" w:color="auto" w:sz="2" w:space="0"/>
              <w:bottom w:val="single" w:color="auto" w:sz="2" w:space="0"/>
              <w:right w:val="single" w:color="auto" w:sz="2" w:space="0"/>
            </w:tcBorders>
            <w:vAlign w:val="center"/>
          </w:tcPr>
          <w:p w14:paraId="52B0218E">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邮政编码</w:t>
            </w:r>
          </w:p>
        </w:tc>
        <w:tc>
          <w:tcPr>
            <w:tcW w:w="2645" w:type="dxa"/>
            <w:tcBorders>
              <w:top w:val="single" w:color="auto" w:sz="2" w:space="0"/>
              <w:left w:val="single" w:color="auto" w:sz="2" w:space="0"/>
              <w:bottom w:val="single" w:color="auto" w:sz="2" w:space="0"/>
              <w:right w:val="single" w:color="auto" w:sz="2" w:space="0"/>
            </w:tcBorders>
            <w:vAlign w:val="center"/>
          </w:tcPr>
          <w:p w14:paraId="4A041D3A">
            <w:pPr>
              <w:adjustRightInd w:val="0"/>
              <w:snapToGrid w:val="0"/>
              <w:spacing w:line="360" w:lineRule="auto"/>
              <w:jc w:val="center"/>
              <w:rPr>
                <w:rFonts w:hint="eastAsia" w:ascii="宋体" w:hAnsi="宋体" w:eastAsia="宋体" w:cs="宋体"/>
                <w:color w:val="auto"/>
                <w:sz w:val="24"/>
                <w:szCs w:val="24"/>
                <w:highlight w:val="none"/>
              </w:rPr>
            </w:pPr>
          </w:p>
        </w:tc>
        <w:tc>
          <w:tcPr>
            <w:tcW w:w="2170" w:type="dxa"/>
            <w:tcBorders>
              <w:top w:val="single" w:color="auto" w:sz="2" w:space="0"/>
              <w:left w:val="single" w:color="auto" w:sz="2" w:space="0"/>
              <w:bottom w:val="single" w:color="auto" w:sz="2" w:space="0"/>
              <w:right w:val="single" w:color="auto" w:sz="2" w:space="0"/>
            </w:tcBorders>
            <w:vAlign w:val="center"/>
          </w:tcPr>
          <w:p w14:paraId="1AE20F57">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邮政编码</w:t>
            </w:r>
          </w:p>
        </w:tc>
        <w:tc>
          <w:tcPr>
            <w:tcW w:w="2321" w:type="dxa"/>
            <w:tcBorders>
              <w:top w:val="single" w:color="auto" w:sz="2" w:space="0"/>
              <w:left w:val="single" w:color="auto" w:sz="2" w:space="0"/>
              <w:bottom w:val="single" w:color="auto" w:sz="2" w:space="0"/>
            </w:tcBorders>
            <w:vAlign w:val="center"/>
          </w:tcPr>
          <w:p w14:paraId="6D734B34">
            <w:pPr>
              <w:adjustRightInd w:val="0"/>
              <w:snapToGrid w:val="0"/>
              <w:spacing w:line="360" w:lineRule="auto"/>
              <w:jc w:val="center"/>
              <w:rPr>
                <w:rFonts w:hint="eastAsia" w:ascii="宋体" w:hAnsi="宋体" w:eastAsia="宋体" w:cs="宋体"/>
                <w:color w:val="auto"/>
                <w:spacing w:val="20"/>
                <w:sz w:val="24"/>
                <w:szCs w:val="24"/>
                <w:highlight w:val="none"/>
              </w:rPr>
            </w:pPr>
          </w:p>
        </w:tc>
      </w:tr>
      <w:tr w14:paraId="38B0D26A">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2073" w:type="dxa"/>
            <w:tcBorders>
              <w:top w:val="single" w:color="auto" w:sz="2" w:space="0"/>
              <w:bottom w:val="single" w:color="auto" w:sz="2" w:space="0"/>
              <w:right w:val="single" w:color="auto" w:sz="2" w:space="0"/>
            </w:tcBorders>
            <w:vAlign w:val="center"/>
          </w:tcPr>
          <w:p w14:paraId="08018AC9">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电子邮箱</w:t>
            </w:r>
          </w:p>
        </w:tc>
        <w:tc>
          <w:tcPr>
            <w:tcW w:w="2645" w:type="dxa"/>
            <w:tcBorders>
              <w:top w:val="single" w:color="auto" w:sz="2" w:space="0"/>
              <w:left w:val="single" w:color="auto" w:sz="2" w:space="0"/>
              <w:bottom w:val="single" w:color="auto" w:sz="2" w:space="0"/>
              <w:right w:val="single" w:color="auto" w:sz="2" w:space="0"/>
            </w:tcBorders>
            <w:vAlign w:val="center"/>
          </w:tcPr>
          <w:p w14:paraId="3E35FD7D">
            <w:pPr>
              <w:adjustRightInd w:val="0"/>
              <w:snapToGrid w:val="0"/>
              <w:spacing w:line="360" w:lineRule="auto"/>
              <w:jc w:val="center"/>
              <w:rPr>
                <w:rFonts w:hint="eastAsia" w:ascii="宋体" w:hAnsi="宋体" w:eastAsia="宋体" w:cs="宋体"/>
                <w:color w:val="auto"/>
                <w:sz w:val="24"/>
                <w:szCs w:val="24"/>
                <w:highlight w:val="none"/>
              </w:rPr>
            </w:pPr>
          </w:p>
        </w:tc>
        <w:tc>
          <w:tcPr>
            <w:tcW w:w="2170" w:type="dxa"/>
            <w:tcBorders>
              <w:top w:val="single" w:color="auto" w:sz="2" w:space="0"/>
              <w:left w:val="single" w:color="auto" w:sz="2" w:space="0"/>
              <w:bottom w:val="single" w:color="auto" w:sz="2" w:space="0"/>
              <w:right w:val="single" w:color="auto" w:sz="2" w:space="0"/>
            </w:tcBorders>
            <w:vAlign w:val="center"/>
          </w:tcPr>
          <w:p w14:paraId="384A6E4A">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电子邮箱</w:t>
            </w:r>
          </w:p>
        </w:tc>
        <w:tc>
          <w:tcPr>
            <w:tcW w:w="2321" w:type="dxa"/>
            <w:tcBorders>
              <w:top w:val="single" w:color="auto" w:sz="2" w:space="0"/>
              <w:left w:val="single" w:color="auto" w:sz="2" w:space="0"/>
              <w:bottom w:val="single" w:color="auto" w:sz="2" w:space="0"/>
            </w:tcBorders>
            <w:vAlign w:val="center"/>
          </w:tcPr>
          <w:p w14:paraId="1A75EA79">
            <w:pPr>
              <w:adjustRightInd w:val="0"/>
              <w:snapToGrid w:val="0"/>
              <w:spacing w:line="360" w:lineRule="auto"/>
              <w:jc w:val="center"/>
              <w:rPr>
                <w:rFonts w:hint="eastAsia" w:ascii="宋体" w:hAnsi="宋体" w:eastAsia="宋体" w:cs="宋体"/>
                <w:color w:val="auto"/>
                <w:spacing w:val="20"/>
                <w:sz w:val="24"/>
                <w:szCs w:val="24"/>
                <w:highlight w:val="none"/>
              </w:rPr>
            </w:pPr>
          </w:p>
        </w:tc>
      </w:tr>
      <w:tr w14:paraId="3D871BB0">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2073" w:type="dxa"/>
            <w:tcBorders>
              <w:top w:val="single" w:color="auto" w:sz="2" w:space="0"/>
              <w:bottom w:val="single" w:color="auto" w:sz="2" w:space="0"/>
              <w:right w:val="single" w:color="auto" w:sz="2" w:space="0"/>
            </w:tcBorders>
            <w:vAlign w:val="center"/>
          </w:tcPr>
          <w:p w14:paraId="7284F7A8">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统一社会信用代码</w:t>
            </w:r>
          </w:p>
        </w:tc>
        <w:tc>
          <w:tcPr>
            <w:tcW w:w="2645" w:type="dxa"/>
            <w:tcBorders>
              <w:top w:val="single" w:color="auto" w:sz="2" w:space="0"/>
              <w:left w:val="single" w:color="auto" w:sz="2" w:space="0"/>
              <w:bottom w:val="single" w:color="auto" w:sz="2" w:space="0"/>
              <w:right w:val="single" w:color="auto" w:sz="2" w:space="0"/>
            </w:tcBorders>
            <w:vAlign w:val="center"/>
          </w:tcPr>
          <w:p w14:paraId="721DEF59">
            <w:pPr>
              <w:adjustRightInd w:val="0"/>
              <w:snapToGrid w:val="0"/>
              <w:spacing w:line="360" w:lineRule="auto"/>
              <w:jc w:val="center"/>
              <w:rPr>
                <w:rFonts w:hint="eastAsia" w:ascii="宋体" w:hAnsi="宋体" w:eastAsia="宋体" w:cs="宋体"/>
                <w:color w:val="auto"/>
                <w:sz w:val="24"/>
                <w:szCs w:val="24"/>
                <w:highlight w:val="none"/>
              </w:rPr>
            </w:pPr>
          </w:p>
        </w:tc>
        <w:tc>
          <w:tcPr>
            <w:tcW w:w="2170" w:type="dxa"/>
            <w:tcBorders>
              <w:top w:val="single" w:color="auto" w:sz="2" w:space="0"/>
              <w:left w:val="single" w:color="auto" w:sz="2" w:space="0"/>
              <w:bottom w:val="single" w:color="auto" w:sz="2" w:space="0"/>
              <w:right w:val="single" w:color="auto" w:sz="2" w:space="0"/>
            </w:tcBorders>
            <w:vAlign w:val="center"/>
          </w:tcPr>
          <w:p w14:paraId="01742B56">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统一社会信用代码</w:t>
            </w:r>
          </w:p>
        </w:tc>
        <w:tc>
          <w:tcPr>
            <w:tcW w:w="2321" w:type="dxa"/>
            <w:tcBorders>
              <w:top w:val="single" w:color="auto" w:sz="2" w:space="0"/>
              <w:left w:val="single" w:color="auto" w:sz="2" w:space="0"/>
              <w:bottom w:val="single" w:color="auto" w:sz="2" w:space="0"/>
            </w:tcBorders>
            <w:vAlign w:val="center"/>
          </w:tcPr>
          <w:p w14:paraId="60AF3B69">
            <w:pPr>
              <w:adjustRightInd w:val="0"/>
              <w:snapToGrid w:val="0"/>
              <w:spacing w:line="360" w:lineRule="auto"/>
              <w:jc w:val="center"/>
              <w:rPr>
                <w:rFonts w:hint="eastAsia" w:ascii="宋体" w:hAnsi="宋体" w:eastAsia="宋体" w:cs="宋体"/>
                <w:color w:val="auto"/>
                <w:spacing w:val="20"/>
                <w:sz w:val="24"/>
                <w:szCs w:val="24"/>
                <w:highlight w:val="none"/>
              </w:rPr>
            </w:pPr>
          </w:p>
        </w:tc>
      </w:tr>
      <w:tr w14:paraId="04EBE295">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2073" w:type="dxa"/>
            <w:tcBorders>
              <w:top w:val="single" w:color="auto" w:sz="2" w:space="0"/>
              <w:bottom w:val="single" w:color="auto" w:sz="2" w:space="0"/>
              <w:right w:val="single" w:color="auto" w:sz="2" w:space="0"/>
            </w:tcBorders>
            <w:vAlign w:val="center"/>
          </w:tcPr>
          <w:p w14:paraId="033E0D80">
            <w:pPr>
              <w:adjustRightInd w:val="0"/>
              <w:snapToGrid w:val="0"/>
              <w:spacing w:line="360" w:lineRule="auto"/>
              <w:jc w:val="center"/>
              <w:rPr>
                <w:rFonts w:hint="eastAsia" w:ascii="宋体" w:hAnsi="宋体" w:eastAsia="宋体" w:cs="宋体"/>
                <w:color w:val="auto"/>
                <w:sz w:val="24"/>
                <w:szCs w:val="24"/>
                <w:highlight w:val="none"/>
              </w:rPr>
            </w:pPr>
          </w:p>
        </w:tc>
        <w:tc>
          <w:tcPr>
            <w:tcW w:w="2645" w:type="dxa"/>
            <w:tcBorders>
              <w:top w:val="single" w:color="auto" w:sz="2" w:space="0"/>
              <w:left w:val="single" w:color="auto" w:sz="2" w:space="0"/>
              <w:bottom w:val="single" w:color="auto" w:sz="2" w:space="0"/>
              <w:right w:val="single" w:color="auto" w:sz="2" w:space="0"/>
            </w:tcBorders>
            <w:vAlign w:val="center"/>
          </w:tcPr>
          <w:p w14:paraId="7E98A3D0">
            <w:pPr>
              <w:adjustRightInd w:val="0"/>
              <w:snapToGrid w:val="0"/>
              <w:spacing w:line="360" w:lineRule="auto"/>
              <w:jc w:val="center"/>
              <w:rPr>
                <w:rFonts w:hint="eastAsia" w:ascii="宋体" w:hAnsi="宋体" w:eastAsia="宋体" w:cs="宋体"/>
                <w:color w:val="auto"/>
                <w:sz w:val="24"/>
                <w:szCs w:val="24"/>
                <w:highlight w:val="none"/>
              </w:rPr>
            </w:pPr>
          </w:p>
        </w:tc>
        <w:tc>
          <w:tcPr>
            <w:tcW w:w="2170" w:type="dxa"/>
            <w:tcBorders>
              <w:top w:val="single" w:color="auto" w:sz="2" w:space="0"/>
              <w:left w:val="single" w:color="auto" w:sz="2" w:space="0"/>
              <w:bottom w:val="single" w:color="auto" w:sz="2" w:space="0"/>
              <w:right w:val="single" w:color="auto" w:sz="2" w:space="0"/>
            </w:tcBorders>
            <w:vAlign w:val="center"/>
          </w:tcPr>
          <w:p w14:paraId="40D16B3C">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开户名称</w:t>
            </w:r>
          </w:p>
        </w:tc>
        <w:tc>
          <w:tcPr>
            <w:tcW w:w="2321" w:type="dxa"/>
            <w:tcBorders>
              <w:top w:val="single" w:color="auto" w:sz="2" w:space="0"/>
              <w:left w:val="single" w:color="auto" w:sz="2" w:space="0"/>
              <w:bottom w:val="single" w:color="auto" w:sz="2" w:space="0"/>
            </w:tcBorders>
            <w:vAlign w:val="center"/>
          </w:tcPr>
          <w:p w14:paraId="3D0BB357">
            <w:pPr>
              <w:adjustRightInd w:val="0"/>
              <w:snapToGrid w:val="0"/>
              <w:spacing w:line="360" w:lineRule="auto"/>
              <w:jc w:val="center"/>
              <w:rPr>
                <w:rFonts w:hint="eastAsia" w:ascii="宋体" w:hAnsi="宋体" w:eastAsia="宋体" w:cs="宋体"/>
                <w:color w:val="auto"/>
                <w:spacing w:val="20"/>
                <w:sz w:val="24"/>
                <w:szCs w:val="24"/>
                <w:highlight w:val="none"/>
              </w:rPr>
            </w:pPr>
          </w:p>
        </w:tc>
      </w:tr>
      <w:tr w14:paraId="457A4784">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2073" w:type="dxa"/>
            <w:tcBorders>
              <w:top w:val="single" w:color="auto" w:sz="2" w:space="0"/>
              <w:bottom w:val="single" w:color="auto" w:sz="2" w:space="0"/>
              <w:right w:val="single" w:color="auto" w:sz="2" w:space="0"/>
            </w:tcBorders>
            <w:vAlign w:val="center"/>
          </w:tcPr>
          <w:p w14:paraId="686016AA">
            <w:pPr>
              <w:adjustRightInd w:val="0"/>
              <w:snapToGrid w:val="0"/>
              <w:spacing w:line="360" w:lineRule="auto"/>
              <w:jc w:val="center"/>
              <w:rPr>
                <w:rFonts w:hint="eastAsia" w:ascii="宋体" w:hAnsi="宋体" w:eastAsia="宋体" w:cs="宋体"/>
                <w:color w:val="auto"/>
                <w:sz w:val="24"/>
                <w:szCs w:val="24"/>
                <w:highlight w:val="none"/>
              </w:rPr>
            </w:pPr>
          </w:p>
        </w:tc>
        <w:tc>
          <w:tcPr>
            <w:tcW w:w="2645" w:type="dxa"/>
            <w:tcBorders>
              <w:top w:val="single" w:color="auto" w:sz="2" w:space="0"/>
              <w:left w:val="single" w:color="auto" w:sz="2" w:space="0"/>
              <w:bottom w:val="single" w:color="auto" w:sz="2" w:space="0"/>
              <w:right w:val="single" w:color="auto" w:sz="2" w:space="0"/>
            </w:tcBorders>
            <w:vAlign w:val="center"/>
          </w:tcPr>
          <w:p w14:paraId="49525BDD">
            <w:pPr>
              <w:adjustRightInd w:val="0"/>
              <w:snapToGrid w:val="0"/>
              <w:spacing w:line="360" w:lineRule="auto"/>
              <w:jc w:val="center"/>
              <w:rPr>
                <w:rFonts w:hint="eastAsia" w:ascii="宋体" w:hAnsi="宋体" w:eastAsia="宋体" w:cs="宋体"/>
                <w:color w:val="auto"/>
                <w:sz w:val="24"/>
                <w:szCs w:val="24"/>
                <w:highlight w:val="none"/>
              </w:rPr>
            </w:pPr>
          </w:p>
        </w:tc>
        <w:tc>
          <w:tcPr>
            <w:tcW w:w="2170" w:type="dxa"/>
            <w:tcBorders>
              <w:top w:val="single" w:color="auto" w:sz="2" w:space="0"/>
              <w:left w:val="single" w:color="auto" w:sz="2" w:space="0"/>
              <w:bottom w:val="single" w:color="auto" w:sz="2" w:space="0"/>
              <w:right w:val="single" w:color="auto" w:sz="2" w:space="0"/>
            </w:tcBorders>
            <w:vAlign w:val="center"/>
          </w:tcPr>
          <w:p w14:paraId="779AFA88">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开户银行</w:t>
            </w:r>
          </w:p>
        </w:tc>
        <w:tc>
          <w:tcPr>
            <w:tcW w:w="2321" w:type="dxa"/>
            <w:tcBorders>
              <w:top w:val="single" w:color="auto" w:sz="2" w:space="0"/>
              <w:left w:val="single" w:color="auto" w:sz="2" w:space="0"/>
              <w:bottom w:val="single" w:color="auto" w:sz="2" w:space="0"/>
            </w:tcBorders>
            <w:vAlign w:val="center"/>
          </w:tcPr>
          <w:p w14:paraId="0F8A3E07">
            <w:pPr>
              <w:adjustRightInd w:val="0"/>
              <w:snapToGrid w:val="0"/>
              <w:spacing w:line="360" w:lineRule="auto"/>
              <w:jc w:val="center"/>
              <w:rPr>
                <w:rFonts w:hint="eastAsia" w:ascii="宋体" w:hAnsi="宋体" w:eastAsia="宋体" w:cs="宋体"/>
                <w:color w:val="auto"/>
                <w:spacing w:val="20"/>
                <w:sz w:val="24"/>
                <w:szCs w:val="24"/>
                <w:highlight w:val="none"/>
              </w:rPr>
            </w:pPr>
          </w:p>
        </w:tc>
      </w:tr>
      <w:tr w14:paraId="6DA417A7">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2073" w:type="dxa"/>
            <w:tcBorders>
              <w:top w:val="single" w:color="auto" w:sz="2" w:space="0"/>
              <w:bottom w:val="single" w:color="auto" w:sz="2" w:space="0"/>
              <w:right w:val="single" w:color="auto" w:sz="2" w:space="0"/>
            </w:tcBorders>
            <w:vAlign w:val="center"/>
          </w:tcPr>
          <w:p w14:paraId="7F167CE6">
            <w:pPr>
              <w:adjustRightInd w:val="0"/>
              <w:snapToGrid w:val="0"/>
              <w:spacing w:line="360" w:lineRule="auto"/>
              <w:jc w:val="center"/>
              <w:rPr>
                <w:rFonts w:hint="eastAsia" w:ascii="宋体" w:hAnsi="宋体" w:eastAsia="宋体" w:cs="宋体"/>
                <w:color w:val="auto"/>
                <w:sz w:val="24"/>
                <w:szCs w:val="24"/>
                <w:highlight w:val="none"/>
              </w:rPr>
            </w:pPr>
          </w:p>
        </w:tc>
        <w:tc>
          <w:tcPr>
            <w:tcW w:w="2645" w:type="dxa"/>
            <w:tcBorders>
              <w:top w:val="single" w:color="auto" w:sz="2" w:space="0"/>
              <w:left w:val="single" w:color="auto" w:sz="2" w:space="0"/>
              <w:bottom w:val="single" w:color="auto" w:sz="2" w:space="0"/>
              <w:right w:val="single" w:color="auto" w:sz="2" w:space="0"/>
            </w:tcBorders>
            <w:vAlign w:val="center"/>
          </w:tcPr>
          <w:p w14:paraId="1CC27D9E">
            <w:pPr>
              <w:adjustRightInd w:val="0"/>
              <w:snapToGrid w:val="0"/>
              <w:spacing w:line="360" w:lineRule="auto"/>
              <w:jc w:val="center"/>
              <w:rPr>
                <w:rFonts w:hint="eastAsia" w:ascii="宋体" w:hAnsi="宋体" w:eastAsia="宋体" w:cs="宋体"/>
                <w:color w:val="auto"/>
                <w:sz w:val="24"/>
                <w:szCs w:val="24"/>
                <w:highlight w:val="none"/>
              </w:rPr>
            </w:pPr>
          </w:p>
        </w:tc>
        <w:tc>
          <w:tcPr>
            <w:tcW w:w="2170" w:type="dxa"/>
            <w:tcBorders>
              <w:top w:val="single" w:color="auto" w:sz="2" w:space="0"/>
              <w:left w:val="single" w:color="auto" w:sz="2" w:space="0"/>
              <w:bottom w:val="single" w:color="auto" w:sz="2" w:space="0"/>
              <w:right w:val="single" w:color="auto" w:sz="2" w:space="0"/>
            </w:tcBorders>
            <w:vAlign w:val="center"/>
          </w:tcPr>
          <w:p w14:paraId="6C59C5D3">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银行账号</w:t>
            </w:r>
          </w:p>
        </w:tc>
        <w:tc>
          <w:tcPr>
            <w:tcW w:w="2321" w:type="dxa"/>
            <w:tcBorders>
              <w:top w:val="single" w:color="auto" w:sz="2" w:space="0"/>
              <w:left w:val="single" w:color="auto" w:sz="2" w:space="0"/>
              <w:bottom w:val="single" w:color="auto" w:sz="2" w:space="0"/>
            </w:tcBorders>
            <w:vAlign w:val="center"/>
          </w:tcPr>
          <w:p w14:paraId="4B072F08">
            <w:pPr>
              <w:adjustRightInd w:val="0"/>
              <w:snapToGrid w:val="0"/>
              <w:spacing w:line="360" w:lineRule="auto"/>
              <w:jc w:val="center"/>
              <w:rPr>
                <w:rFonts w:hint="eastAsia" w:ascii="宋体" w:hAnsi="宋体" w:eastAsia="宋体" w:cs="宋体"/>
                <w:color w:val="auto"/>
                <w:spacing w:val="20"/>
                <w:sz w:val="24"/>
                <w:szCs w:val="24"/>
                <w:highlight w:val="none"/>
              </w:rPr>
            </w:pPr>
          </w:p>
        </w:tc>
      </w:tr>
      <w:tr w14:paraId="7BEDD0CB">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586" w:hRule="atLeast"/>
        </w:trPr>
        <w:tc>
          <w:tcPr>
            <w:tcW w:w="9209" w:type="dxa"/>
            <w:gridSpan w:val="4"/>
            <w:tcBorders>
              <w:top w:val="single" w:color="auto" w:sz="2" w:space="0"/>
            </w:tcBorders>
            <w:vAlign w:val="center"/>
          </w:tcPr>
          <w:p w14:paraId="4B2C4207">
            <w:pPr>
              <w:pStyle w:val="9"/>
              <w:adjustRightInd w:val="0"/>
              <w:snapToGrid w:val="0"/>
              <w:spacing w:before="120" w:beforeLines="50" w:after="0" w:line="360" w:lineRule="auto"/>
              <w:ind w:left="0" w:leftChars="0"/>
              <w:jc w:val="left"/>
              <w:rPr>
                <w:rFonts w:hint="eastAsia" w:ascii="宋体" w:hAnsi="宋体" w:eastAsia="宋体" w:cs="宋体"/>
                <w:color w:val="auto"/>
                <w:spacing w:val="20"/>
                <w:sz w:val="24"/>
                <w:szCs w:val="24"/>
                <w:highlight w:val="none"/>
              </w:rPr>
            </w:pPr>
            <w:r>
              <w:rPr>
                <w:rFonts w:hint="eastAsia" w:ascii="宋体" w:hAnsi="宋体" w:eastAsia="宋体" w:cs="宋体"/>
                <w:color w:val="auto"/>
                <w:sz w:val="24"/>
                <w:szCs w:val="24"/>
                <w:highlight w:val="none"/>
              </w:rPr>
              <w:t>注：涉及联合体或其他合同主体的信息应按上表格式加列。</w:t>
            </w:r>
          </w:p>
        </w:tc>
      </w:tr>
    </w:tbl>
    <w:p w14:paraId="6D6FFC2C">
      <w:pPr>
        <w:pStyle w:val="4"/>
        <w:adjustRightInd w:val="0"/>
        <w:snapToGrid w:val="0"/>
        <w:spacing w:before="120" w:beforeLines="50"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u w:val="single"/>
        </w:rPr>
        <w:br w:type="page"/>
      </w:r>
      <w:bookmarkStart w:id="58" w:name="_Toc221656365"/>
      <w:bookmarkStart w:id="59" w:name="_Toc27624"/>
      <w:r>
        <w:rPr>
          <w:rFonts w:hint="eastAsia" w:cs="@仿宋_GB2312" w:asciiTheme="minorEastAsia" w:hAnsiTheme="minorEastAsia" w:eastAsiaTheme="minorEastAsia"/>
          <w:bCs w:val="0"/>
          <w:color w:val="auto"/>
          <w:sz w:val="24"/>
          <w:szCs w:val="20"/>
          <w:highlight w:val="none"/>
        </w:rPr>
        <w:t>第二节 政府采购合同通用条款</w:t>
      </w:r>
      <w:bookmarkEnd w:id="58"/>
      <w:bookmarkEnd w:id="59"/>
    </w:p>
    <w:p w14:paraId="7C2A0AB5">
      <w:pPr>
        <w:tabs>
          <w:tab w:val="left" w:pos="8820"/>
          <w:tab w:val="left" w:pos="9345"/>
          <w:tab w:val="left" w:pos="9765"/>
        </w:tabs>
        <w:adjustRightInd w:val="0"/>
        <w:snapToGrid w:val="0"/>
        <w:spacing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color w:val="auto"/>
          <w:sz w:val="24"/>
          <w:szCs w:val="24"/>
          <w:highlight w:val="none"/>
        </w:rPr>
        <w:t xml:space="preserve">1. </w:t>
      </w:r>
      <w:r>
        <w:rPr>
          <w:rFonts w:hint="eastAsia" w:ascii="宋体" w:hAnsi="宋体" w:eastAsia="宋体" w:cs="宋体"/>
          <w:b/>
          <w:bCs/>
          <w:color w:val="auto"/>
          <w:sz w:val="24"/>
          <w:szCs w:val="24"/>
          <w:highlight w:val="none"/>
        </w:rPr>
        <w:t>定义</w:t>
      </w:r>
    </w:p>
    <w:p w14:paraId="73E9C327">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1.1合同当事人</w:t>
      </w:r>
    </w:p>
    <w:p w14:paraId="69F0A3AE">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（1）采购人（以下称甲方）是指使用财政性资金，通过政府采购方式向供应商购买货物及其相关服务的国家机关、事业单位、团体组织。</w:t>
      </w:r>
    </w:p>
    <w:p w14:paraId="4FC4356F">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（2）供应商（以下称乙方）是指参加政府采购活动并且中标（成交），向采购人提供合同约定的货物及其相关服务的法人、非法人组织或者自然人。</w:t>
      </w:r>
    </w:p>
    <w:p w14:paraId="3542BA64">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（3）其他合同主体是指除采购人和供应商以外，</w:t>
      </w:r>
      <w:r>
        <w:rPr>
          <w:rFonts w:hint="eastAsia" w:ascii="宋体" w:hAnsi="宋体" w:eastAsia="宋体" w:cs="宋体"/>
          <w:bCs/>
          <w:color w:val="auto"/>
          <w:sz w:val="24"/>
          <w:szCs w:val="24"/>
          <w:highlight w:val="none"/>
        </w:rPr>
        <w:t>依法参与合同缔结或履行，享有权利、承担义务的合同当事人</w:t>
      </w:r>
      <w:r>
        <w:rPr>
          <w:rFonts w:hint="eastAsia" w:ascii="宋体" w:hAnsi="宋体" w:eastAsia="宋体" w:cs="宋体"/>
          <w:color w:val="auto"/>
          <w:sz w:val="24"/>
          <w:szCs w:val="24"/>
          <w:highlight w:val="none"/>
        </w:rPr>
        <w:t>。</w:t>
      </w:r>
    </w:p>
    <w:p w14:paraId="5BF56AB7">
      <w:pPr>
        <w:tabs>
          <w:tab w:val="left" w:pos="570"/>
          <w:tab w:val="left" w:pos="9240"/>
          <w:tab w:val="left" w:pos="9555"/>
        </w:tabs>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1.2本合同下列术语应解释为：</w:t>
      </w:r>
    </w:p>
    <w:p w14:paraId="710BC6E5">
      <w:pPr>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（1）“合同”系指</w:t>
      </w:r>
      <w:r>
        <w:rPr>
          <w:rFonts w:hint="eastAsia" w:ascii="宋体" w:hAnsi="宋体" w:eastAsia="宋体" w:cs="宋体"/>
          <w:bCs/>
          <w:color w:val="auto"/>
          <w:sz w:val="24"/>
          <w:szCs w:val="24"/>
          <w:highlight w:val="none"/>
        </w:rPr>
        <w:t>合同当事人意思表示达成一致的任何协议，包括签署的</w:t>
      </w:r>
      <w:r>
        <w:rPr>
          <w:rFonts w:hint="eastAsia" w:ascii="宋体" w:hAnsi="宋体" w:eastAsia="宋体" w:cs="宋体"/>
          <w:color w:val="auto"/>
          <w:sz w:val="24"/>
          <w:szCs w:val="24"/>
          <w:highlight w:val="none"/>
        </w:rPr>
        <w:t>政府采购合同协议书及其变更、补充协议，政府采购合同专用条款，政府采购合同通用条款，中标（成交）通知书，投标（响应）文件，采购文件，有关技术文件和图纸，以及国家法律、行政法规和规章制度规定或合同约定的作为合同组成部分的其他文件。</w:t>
      </w:r>
    </w:p>
    <w:p w14:paraId="6BDA25EA">
      <w:pPr>
        <w:tabs>
          <w:tab w:val="left" w:pos="570"/>
          <w:tab w:val="left" w:pos="9240"/>
          <w:tab w:val="left" w:pos="9555"/>
        </w:tabs>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（2）“合同价款”系指根据本合同规定乙方在全面履行合同义务后甲方应支付给乙方的价款。</w:t>
      </w:r>
    </w:p>
    <w:p w14:paraId="2AED8369">
      <w:pPr>
        <w:tabs>
          <w:tab w:val="left" w:pos="570"/>
          <w:tab w:val="left" w:pos="9240"/>
          <w:tab w:val="left" w:pos="9555"/>
        </w:tabs>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（3）“货物”系指乙方根据本合同规定须向甲方提供的各种形态和种类的物品，包括原材料、设备、产品（包括软件）及相关的其备品备件、工具、手册及其他技术资料和材料等。</w:t>
      </w:r>
    </w:p>
    <w:p w14:paraId="74D7214B">
      <w:pPr>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相关服务”系指根据合同规定，乙方应提供的与货物有关的技术、管理和其他服务，包括但不限于：管理和质量保证、运输、保险、检验、现场准备、安装、集成、调试、培训、维修、废弃处置、技术支持等以及合同中规定乙方应承担的其他义务。</w:t>
      </w:r>
    </w:p>
    <w:p w14:paraId="7C252564">
      <w:pPr>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（5）“分包”系指中标（成交）供应商按采购文件、投标（响应）文件的规定，根据分包意向协议，将中标（成交）项目中的部分履约内容，分给具有相应资质条件的供应商履行合同的行为。</w:t>
      </w:r>
    </w:p>
    <w:p w14:paraId="381863F1">
      <w:pPr>
        <w:tabs>
          <w:tab w:val="left" w:pos="570"/>
          <w:tab w:val="left" w:pos="9240"/>
          <w:tab w:val="left" w:pos="9555"/>
        </w:tabs>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联合体”系指由两个以上的自然人、法人或者非法人组织组成，以一个供应商的身份共同参加政府采购的主体。联合体各方应在签订合同协议书前向甲方提交联合协议，且明确牵头人及各成员单位的工作分工、权利、义务、责任，联合体各方应共同与甲方签订合同，就合同约定的事项对甲方承担连带责任。联合体具体要求见【</w:t>
      </w:r>
      <w:r>
        <w:rPr>
          <w:rFonts w:hint="eastAsia" w:ascii="宋体" w:hAnsi="宋体" w:eastAsia="宋体" w:cs="宋体"/>
          <w:b/>
          <w:bCs/>
          <w:color w:val="auto"/>
          <w:sz w:val="24"/>
          <w:szCs w:val="24"/>
          <w:highlight w:val="none"/>
        </w:rPr>
        <w:t>政府采购合同专用条款</w:t>
      </w:r>
      <w:r>
        <w:rPr>
          <w:rFonts w:hint="eastAsia" w:ascii="宋体" w:hAnsi="宋体" w:eastAsia="宋体" w:cs="宋体"/>
          <w:color w:val="auto"/>
          <w:sz w:val="24"/>
          <w:szCs w:val="24"/>
          <w:highlight w:val="none"/>
        </w:rPr>
        <w:t>】。</w:t>
      </w:r>
    </w:p>
    <w:p w14:paraId="1ABEDCB6">
      <w:pPr>
        <w:tabs>
          <w:tab w:val="left" w:pos="570"/>
          <w:tab w:val="left" w:pos="9240"/>
          <w:tab w:val="left" w:pos="9555"/>
        </w:tabs>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（7）其他术语解释，见【</w:t>
      </w:r>
      <w:r>
        <w:rPr>
          <w:rFonts w:hint="eastAsia" w:ascii="宋体" w:hAnsi="宋体" w:eastAsia="宋体" w:cs="宋体"/>
          <w:b/>
          <w:bCs/>
          <w:color w:val="auto"/>
          <w:sz w:val="24"/>
          <w:szCs w:val="24"/>
          <w:highlight w:val="none"/>
        </w:rPr>
        <w:t>政府采购合同专用条款</w:t>
      </w:r>
      <w:r>
        <w:rPr>
          <w:rFonts w:hint="eastAsia" w:ascii="宋体" w:hAnsi="宋体" w:eastAsia="宋体" w:cs="宋体"/>
          <w:color w:val="auto"/>
          <w:sz w:val="24"/>
          <w:szCs w:val="24"/>
          <w:highlight w:val="none"/>
        </w:rPr>
        <w:t>】。</w:t>
      </w:r>
    </w:p>
    <w:p w14:paraId="2725E286">
      <w:pPr>
        <w:numPr>
          <w:ilvl w:val="0"/>
          <w:numId w:val="5"/>
        </w:numPr>
        <w:autoSpaceDE w:val="0"/>
        <w:autoSpaceDN w:val="0"/>
        <w:adjustRightInd w:val="0"/>
        <w:snapToGrid w:val="0"/>
        <w:spacing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color w:val="auto"/>
          <w:sz w:val="24"/>
          <w:szCs w:val="24"/>
          <w:highlight w:val="none"/>
        </w:rPr>
        <w:t>合同标的及金额</w:t>
      </w:r>
    </w:p>
    <w:p w14:paraId="736FEF31">
      <w:pPr>
        <w:autoSpaceDE w:val="0"/>
        <w:autoSpaceDN w:val="0"/>
        <w:adjustRightInd w:val="0"/>
        <w:snapToGrid w:val="0"/>
        <w:spacing w:line="360" w:lineRule="auto"/>
        <w:ind w:firstLine="480" w:firstLineChars="200"/>
        <w:jc w:val="left"/>
        <w:rPr>
          <w:rFonts w:hint="eastAsia" w:ascii="宋体" w:hAnsi="宋体" w:eastAsia="宋体" w:cs="宋体"/>
          <w:b/>
          <w:bCs/>
          <w:i/>
          <w:iCs/>
          <w:color w:val="auto"/>
          <w:sz w:val="24"/>
          <w:szCs w:val="24"/>
          <w:highlight w:val="none"/>
        </w:rPr>
      </w:pPr>
      <w:r>
        <w:rPr>
          <w:rFonts w:hint="eastAsia" w:ascii="宋体" w:hAnsi="宋体" w:eastAsia="宋体" w:cs="宋体"/>
          <w:color w:val="auto"/>
          <w:sz w:val="24"/>
          <w:szCs w:val="24"/>
          <w:highlight w:val="none"/>
        </w:rPr>
        <w:t>2.1 合同标的及金额应与中标（成交）结果一致。乙方为履行本合同而发生的所有费用均应包含在合同价款中，甲方不再另行支付其他任何费用。</w:t>
      </w:r>
    </w:p>
    <w:p w14:paraId="283813B4">
      <w:pPr>
        <w:adjustRightInd w:val="0"/>
        <w:snapToGrid w:val="0"/>
        <w:spacing w:line="360" w:lineRule="auto"/>
        <w:jc w:val="left"/>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3. 履行合同的时间、地点和方式</w:t>
      </w:r>
    </w:p>
    <w:p w14:paraId="0A589F42">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3.1 乙方应当在约定的时间、地点，按照约定方式履行合同。</w:t>
      </w:r>
    </w:p>
    <w:p w14:paraId="04E269AB">
      <w:pPr>
        <w:autoSpaceDE w:val="0"/>
        <w:autoSpaceDN w:val="0"/>
        <w:adjustRightInd w:val="0"/>
        <w:snapToGrid w:val="0"/>
        <w:spacing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4. 甲方的权利和义务</w:t>
      </w:r>
    </w:p>
    <w:p w14:paraId="7CFC6B8E">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4.1 签署合同后，甲方应确定项目负责人（或项目联系人），负责与本合同有关的事务。甲方有权对乙方的履约行为进行检查，并及时确认乙方提交的事项。甲方应当配合乙方完成相关项目实施工作。</w:t>
      </w:r>
    </w:p>
    <w:p w14:paraId="7AB72DC1">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4.2 甲方有权要求乙方按时提交各阶段有关安排计划，并有权定期核对乙方提供货物数量、规格、质量等内容。甲方有权督促乙方工作并要求乙方更换不符合要求的货物。</w:t>
      </w:r>
    </w:p>
    <w:p w14:paraId="60633907">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4.3 甲方有权要求乙方对缺陷部分予以修复，并按合同约定享有货物保修及其他合同约定的权利。</w:t>
      </w:r>
    </w:p>
    <w:p w14:paraId="598F9B61">
      <w:pPr>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4.4 甲方应当按照合同约定及时对交付的货物进行验收，未在</w:t>
      </w:r>
      <w:r>
        <w:rPr>
          <w:rFonts w:hint="eastAsia" w:ascii="宋体" w:hAnsi="宋体" w:eastAsia="宋体" w:cs="宋体"/>
          <w:b/>
          <w:bCs/>
          <w:color w:val="auto"/>
          <w:sz w:val="24"/>
          <w:szCs w:val="24"/>
          <w:highlight w:val="none"/>
        </w:rPr>
        <w:t>【政府采购合同专用条款】</w:t>
      </w:r>
      <w:r>
        <w:rPr>
          <w:rFonts w:hint="eastAsia" w:ascii="宋体" w:hAnsi="宋体" w:eastAsia="宋体" w:cs="宋体"/>
          <w:color w:val="auto"/>
          <w:sz w:val="24"/>
          <w:szCs w:val="24"/>
          <w:highlight w:val="none"/>
        </w:rPr>
        <w:t>约定的期限内对乙方履约提出任何异议或者向乙方作出任何说明的，视为验收通过。</w:t>
      </w:r>
    </w:p>
    <w:p w14:paraId="7548D045">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4.5 甲方应当根据合同约定及时向乙方支付合同价款，不得以内部人员变更、履行内部付款流程等为由，拒绝或迟延支付。</w:t>
      </w:r>
    </w:p>
    <w:p w14:paraId="056AE6D3">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4.6 国家法律法规规定及</w:t>
      </w:r>
      <w:r>
        <w:rPr>
          <w:rFonts w:hint="eastAsia" w:ascii="宋体" w:hAnsi="宋体" w:eastAsia="宋体" w:cs="宋体"/>
          <w:b/>
          <w:bCs/>
          <w:color w:val="auto"/>
          <w:sz w:val="24"/>
          <w:szCs w:val="24"/>
          <w:highlight w:val="none"/>
        </w:rPr>
        <w:t>【政府采购合同专用条款】</w:t>
      </w:r>
      <w:r>
        <w:rPr>
          <w:rFonts w:hint="eastAsia" w:ascii="宋体" w:hAnsi="宋体" w:eastAsia="宋体" w:cs="宋体"/>
          <w:color w:val="auto"/>
          <w:sz w:val="24"/>
          <w:szCs w:val="24"/>
          <w:highlight w:val="none"/>
        </w:rPr>
        <w:t>约定应由甲方承担的其他义务和责任。</w:t>
      </w:r>
    </w:p>
    <w:p w14:paraId="7125D496">
      <w:pPr>
        <w:autoSpaceDE w:val="0"/>
        <w:autoSpaceDN w:val="0"/>
        <w:adjustRightInd w:val="0"/>
        <w:snapToGrid w:val="0"/>
        <w:spacing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5. 乙方的权利和义务</w:t>
      </w:r>
    </w:p>
    <w:p w14:paraId="53597793">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5.1 签署合同后，乙方应确定项目负责人（或项目联系人），负责与本合同有关的事务。</w:t>
      </w:r>
    </w:p>
    <w:p w14:paraId="2A4D30A0">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5.2 乙方应按照合同要求履约，充分合理安排，确保提供的货物及相关服务符合合同有关要求。接受项目行业管理部门及政府有关部门的指导，配合甲方的履约检查及验收，并负责项目实施过程中的所有协调工作。</w:t>
      </w:r>
    </w:p>
    <w:p w14:paraId="6E4F2504">
      <w:pPr>
        <w:pStyle w:val="2"/>
        <w:rPr>
          <w:rFonts w:hint="eastAsia"/>
          <w:color w:val="auto"/>
          <w:highlight w:val="none"/>
        </w:rPr>
      </w:pPr>
      <w:r>
        <w:rPr>
          <w:rFonts w:hint="eastAsia"/>
          <w:color w:val="auto"/>
          <w:highlight w:val="none"/>
        </w:rPr>
        <w:t>5.3乙方有权根据合同约定向甲方收取合同价款。</w:t>
      </w:r>
    </w:p>
    <w:p w14:paraId="6D4C01D0">
      <w:pPr>
        <w:pStyle w:val="2"/>
        <w:rPr>
          <w:rFonts w:hint="eastAsia"/>
          <w:color w:val="auto"/>
          <w:highlight w:val="none"/>
        </w:rPr>
      </w:pPr>
      <w:r>
        <w:rPr>
          <w:rFonts w:hint="eastAsia"/>
          <w:color w:val="auto"/>
          <w:highlight w:val="none"/>
        </w:rPr>
        <w:t>5.4国家法律法规规定及</w:t>
      </w:r>
      <w:r>
        <w:rPr>
          <w:rFonts w:hint="eastAsia"/>
          <w:bCs/>
          <w:color w:val="auto"/>
          <w:highlight w:val="none"/>
        </w:rPr>
        <w:t>【政府采购合同专用条款】</w:t>
      </w:r>
      <w:r>
        <w:rPr>
          <w:rFonts w:hint="eastAsia"/>
          <w:color w:val="auto"/>
          <w:highlight w:val="none"/>
        </w:rPr>
        <w:t>约定应由乙方承担的其他义务和责任。</w:t>
      </w:r>
    </w:p>
    <w:p w14:paraId="17EE700B">
      <w:pPr>
        <w:numPr>
          <w:ilvl w:val="0"/>
          <w:numId w:val="6"/>
        </w:numPr>
        <w:autoSpaceDE w:val="0"/>
        <w:autoSpaceDN w:val="0"/>
        <w:adjustRightInd w:val="0"/>
        <w:snapToGrid w:val="0"/>
        <w:spacing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合同履行</w:t>
      </w:r>
    </w:p>
    <w:p w14:paraId="314D03A1">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6.1 甲乙双方应当按照</w:t>
      </w:r>
      <w:r>
        <w:rPr>
          <w:rFonts w:hint="eastAsia" w:ascii="宋体" w:hAnsi="宋体" w:eastAsia="宋体" w:cs="宋体"/>
          <w:b/>
          <w:bCs/>
          <w:color w:val="auto"/>
          <w:sz w:val="24"/>
          <w:szCs w:val="24"/>
          <w:highlight w:val="none"/>
        </w:rPr>
        <w:t>【政府采购合同专用条款】</w:t>
      </w:r>
      <w:r>
        <w:rPr>
          <w:rFonts w:hint="eastAsia" w:ascii="宋体" w:hAnsi="宋体" w:eastAsia="宋体" w:cs="宋体"/>
          <w:color w:val="auto"/>
          <w:sz w:val="24"/>
          <w:szCs w:val="24"/>
          <w:highlight w:val="none"/>
        </w:rPr>
        <w:t>约定顺序履行合同义务；如果没有先后顺序的，应当同时履行。</w:t>
      </w:r>
    </w:p>
    <w:p w14:paraId="729102B7">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6.2 甲乙双方按照合同约定顺序履行合同义务时，应当先履行一方未履行的，后履行一方有权拒绝其履行请求。先履行一方履行不符合约定的，后履行一方有权拒绝其相应的履行请求。</w:t>
      </w:r>
    </w:p>
    <w:p w14:paraId="40220E68">
      <w:pPr>
        <w:adjustRightInd w:val="0"/>
        <w:snapToGrid w:val="0"/>
        <w:spacing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7. 货物包装、运输、保险和交付要求</w:t>
      </w:r>
    </w:p>
    <w:p w14:paraId="758F8338">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7.1 本合同</w:t>
      </w:r>
      <w:r>
        <w:rPr>
          <w:rFonts w:hint="eastAsia" w:ascii="宋体" w:hAnsi="宋体" w:eastAsia="宋体" w:cs="宋体"/>
          <w:bCs/>
          <w:color w:val="auto"/>
          <w:sz w:val="24"/>
          <w:szCs w:val="24"/>
          <w:highlight w:val="none"/>
        </w:rPr>
        <w:t>涉及商品包装、快递包装的，</w:t>
      </w:r>
      <w:r>
        <w:rPr>
          <w:rFonts w:hint="eastAsia" w:ascii="宋体" w:hAnsi="宋体" w:eastAsia="宋体" w:cs="宋体"/>
          <w:color w:val="auto"/>
          <w:sz w:val="24"/>
          <w:szCs w:val="24"/>
          <w:highlight w:val="none"/>
        </w:rPr>
        <w:t>除</w:t>
      </w:r>
      <w:r>
        <w:rPr>
          <w:rFonts w:hint="eastAsia" w:ascii="宋体" w:hAnsi="宋体" w:eastAsia="宋体" w:cs="宋体"/>
          <w:b/>
          <w:color w:val="auto"/>
          <w:sz w:val="24"/>
          <w:szCs w:val="24"/>
          <w:highlight w:val="none"/>
        </w:rPr>
        <w:t>【政府采购合同专用条款】</w:t>
      </w:r>
      <w:r>
        <w:rPr>
          <w:rFonts w:hint="eastAsia" w:ascii="宋体" w:hAnsi="宋体" w:eastAsia="宋体" w:cs="宋体"/>
          <w:bCs/>
          <w:color w:val="auto"/>
          <w:sz w:val="24"/>
          <w:szCs w:val="24"/>
          <w:highlight w:val="none"/>
        </w:rPr>
        <w:t>另有约定外，</w:t>
      </w:r>
      <w:r>
        <w:rPr>
          <w:rFonts w:hint="eastAsia" w:ascii="宋体" w:hAnsi="宋体" w:eastAsia="宋体" w:cs="宋体"/>
          <w:color w:val="auto"/>
          <w:sz w:val="24"/>
          <w:szCs w:val="24"/>
          <w:highlight w:val="none"/>
        </w:rPr>
        <w:t>包装应适应远距离运输、防潮、防震、防锈和防野蛮装卸等要求，确保货物安全无损地运抵</w:t>
      </w:r>
      <w:r>
        <w:rPr>
          <w:rFonts w:hint="eastAsia" w:ascii="宋体" w:hAnsi="宋体" w:eastAsia="宋体" w:cs="宋体"/>
          <w:b/>
          <w:color w:val="auto"/>
          <w:sz w:val="24"/>
          <w:szCs w:val="24"/>
          <w:highlight w:val="none"/>
        </w:rPr>
        <w:t>【政府采购合同专用条款】</w:t>
      </w:r>
      <w:r>
        <w:rPr>
          <w:rFonts w:hint="eastAsia" w:ascii="宋体" w:hAnsi="宋体" w:eastAsia="宋体" w:cs="宋体"/>
          <w:bCs/>
          <w:color w:val="auto"/>
          <w:sz w:val="24"/>
          <w:szCs w:val="24"/>
          <w:highlight w:val="none"/>
        </w:rPr>
        <w:t>约定的</w:t>
      </w:r>
      <w:r>
        <w:rPr>
          <w:rFonts w:hint="eastAsia" w:ascii="宋体" w:hAnsi="宋体" w:eastAsia="宋体" w:cs="宋体"/>
          <w:color w:val="auto"/>
          <w:sz w:val="24"/>
          <w:szCs w:val="24"/>
          <w:highlight w:val="none"/>
        </w:rPr>
        <w:t>指定现场。</w:t>
      </w:r>
    </w:p>
    <w:p w14:paraId="1DA9FA93">
      <w:pPr>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7.2 除</w:t>
      </w:r>
      <w:r>
        <w:rPr>
          <w:rFonts w:hint="eastAsia" w:ascii="宋体" w:hAnsi="宋体" w:eastAsia="宋体" w:cs="宋体"/>
          <w:b/>
          <w:color w:val="auto"/>
          <w:sz w:val="24"/>
          <w:szCs w:val="24"/>
          <w:highlight w:val="none"/>
        </w:rPr>
        <w:t>【政府采购合同专用条款】</w:t>
      </w:r>
      <w:r>
        <w:rPr>
          <w:rFonts w:hint="eastAsia" w:ascii="宋体" w:hAnsi="宋体" w:eastAsia="宋体" w:cs="宋体"/>
          <w:bCs/>
          <w:color w:val="auto"/>
          <w:sz w:val="24"/>
          <w:szCs w:val="24"/>
          <w:highlight w:val="none"/>
        </w:rPr>
        <w:t>另有约定外，</w:t>
      </w:r>
      <w:r>
        <w:rPr>
          <w:rFonts w:hint="eastAsia" w:ascii="宋体" w:hAnsi="宋体" w:eastAsia="宋体" w:cs="宋体"/>
          <w:color w:val="auto"/>
          <w:sz w:val="24"/>
          <w:szCs w:val="24"/>
          <w:highlight w:val="none"/>
        </w:rPr>
        <w:t>乙方负责办理将货物运抵本合同规定的交货地点，并装卸、交付至甲方的一切运输事项，相关费用应包含在合同价款中。</w:t>
      </w:r>
    </w:p>
    <w:p w14:paraId="1CFE9D5D">
      <w:pPr>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7.3 货物保险要求按</w:t>
      </w:r>
      <w:r>
        <w:rPr>
          <w:rFonts w:hint="eastAsia" w:ascii="宋体" w:hAnsi="宋体" w:eastAsia="宋体" w:cs="宋体"/>
          <w:b/>
          <w:color w:val="auto"/>
          <w:sz w:val="24"/>
          <w:szCs w:val="24"/>
          <w:highlight w:val="none"/>
        </w:rPr>
        <w:t>【政府采购合同专用条款】</w:t>
      </w:r>
      <w:r>
        <w:rPr>
          <w:rFonts w:hint="eastAsia" w:ascii="宋体" w:hAnsi="宋体" w:eastAsia="宋体" w:cs="宋体"/>
          <w:bCs/>
          <w:color w:val="auto"/>
          <w:sz w:val="24"/>
          <w:szCs w:val="24"/>
          <w:highlight w:val="none"/>
        </w:rPr>
        <w:t>规定执行</w:t>
      </w:r>
      <w:r>
        <w:rPr>
          <w:rFonts w:hint="eastAsia" w:ascii="宋体" w:hAnsi="宋体" w:eastAsia="宋体" w:cs="宋体"/>
          <w:color w:val="auto"/>
          <w:sz w:val="24"/>
          <w:szCs w:val="24"/>
          <w:highlight w:val="none"/>
        </w:rPr>
        <w:t>。</w:t>
      </w:r>
    </w:p>
    <w:p w14:paraId="6EE7C8F5">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7.4 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14:paraId="4D15467B">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7.5 乙方在运输到达之前应提前通知甲方，并提示货物运输装卸的注意事项，甲方配合乙方做好货物的接收工作。</w:t>
      </w:r>
    </w:p>
    <w:p w14:paraId="443DB0AE">
      <w:pPr>
        <w:pStyle w:val="62"/>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kern w:val="2"/>
          <w:sz w:val="24"/>
          <w:szCs w:val="24"/>
          <w:highlight w:val="none"/>
        </w:rPr>
        <w:t>7.6 如因包装、运输问题导致货物损毁、丢失或者品质下降，甲方有权要求降价、换货、拒收部分或整批货物，由此产生的费用和损失，均由乙方承担。</w:t>
      </w:r>
    </w:p>
    <w:p w14:paraId="0DAFCE71">
      <w:pPr>
        <w:adjustRightInd w:val="0"/>
        <w:snapToGrid w:val="0"/>
        <w:spacing w:line="360" w:lineRule="auto"/>
        <w:jc w:val="left"/>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8. 质量标准和保证</w:t>
      </w:r>
    </w:p>
    <w:p w14:paraId="2C8F869D">
      <w:pPr>
        <w:pStyle w:val="12"/>
        <w:adjustRightInd w:val="0"/>
        <w:snapToGrid w:val="0"/>
        <w:spacing w:line="360" w:lineRule="auto"/>
        <w:ind w:firstLine="480" w:firstLineChars="200"/>
        <w:jc w:val="left"/>
        <w:rPr>
          <w:rFonts w:hint="eastAsia" w:hAnsi="宋体" w:eastAsia="宋体" w:cs="宋体"/>
          <w:b/>
          <w:color w:val="auto"/>
          <w:sz w:val="24"/>
          <w:szCs w:val="24"/>
          <w:highlight w:val="none"/>
        </w:rPr>
      </w:pPr>
      <w:r>
        <w:rPr>
          <w:rFonts w:hint="eastAsia" w:hAnsi="宋体" w:eastAsia="宋体" w:cs="宋体"/>
          <w:color w:val="auto"/>
          <w:sz w:val="24"/>
          <w:szCs w:val="24"/>
          <w:highlight w:val="none"/>
        </w:rPr>
        <w:t>8.1 质量标准</w:t>
      </w:r>
    </w:p>
    <w:p w14:paraId="192C0C67">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本合同下提供的货物应符合合同约定的品牌、规格型号、技术性能、配置、质量、数量等要求。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14:paraId="49E49D50">
      <w:pPr>
        <w:pStyle w:val="12"/>
        <w:adjustRightInd w:val="0"/>
        <w:snapToGrid w:val="0"/>
        <w:spacing w:line="360" w:lineRule="auto"/>
        <w:ind w:firstLine="480" w:firstLineChars="200"/>
        <w:jc w:val="left"/>
        <w:rPr>
          <w:rFonts w:hint="eastAsia" w:hAnsi="宋体" w:eastAsia="宋体" w:cs="宋体"/>
          <w:color w:val="auto"/>
          <w:sz w:val="24"/>
          <w:szCs w:val="24"/>
          <w:highlight w:val="none"/>
        </w:rPr>
      </w:pPr>
      <w:r>
        <w:rPr>
          <w:rFonts w:hint="eastAsia" w:hAnsi="宋体" w:eastAsia="宋体" w:cs="宋体"/>
          <w:color w:val="auto"/>
          <w:sz w:val="24"/>
          <w:szCs w:val="24"/>
          <w:highlight w:val="none"/>
        </w:rPr>
        <w:t>（2）采用中华人民共和国法定计量单位。</w:t>
      </w:r>
    </w:p>
    <w:p w14:paraId="6273F45B">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（3）乙方所提供的货物应符合国家有关安全、环保、卫生的规定。</w:t>
      </w:r>
    </w:p>
    <w:p w14:paraId="15722F49">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（4）乙方应向甲方提交所提供货物的技术文件，包括相应的中文技术文件，如：产品目录、图纸、操作手册、使用说明、维护手册或服务指南等。上述文件应包装好随货物一同发运。</w:t>
      </w:r>
    </w:p>
    <w:p w14:paraId="588CD065">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8.2 保证</w:t>
      </w:r>
    </w:p>
    <w:p w14:paraId="2D239A78">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乙方应保证提供的货物完全符合合同规定的质量、规格和性能要求。乙方应保证货物在正确安装、正常使用和保养条件下，在其使用寿命期内具备合同约定的性能。存在质量保证期的，货物最终交付验收合格后在</w:t>
      </w:r>
      <w:r>
        <w:rPr>
          <w:rFonts w:hint="eastAsia" w:ascii="宋体" w:hAnsi="宋体" w:eastAsia="宋体" w:cs="宋体"/>
          <w:b/>
          <w:color w:val="auto"/>
          <w:sz w:val="24"/>
          <w:szCs w:val="24"/>
          <w:highlight w:val="none"/>
        </w:rPr>
        <w:t>【政府采购合同专用条款】</w:t>
      </w:r>
      <w:r>
        <w:rPr>
          <w:rFonts w:hint="eastAsia" w:ascii="宋体" w:hAnsi="宋体" w:eastAsia="宋体" w:cs="宋体"/>
          <w:color w:val="auto"/>
          <w:sz w:val="24"/>
          <w:szCs w:val="24"/>
          <w:highlight w:val="none"/>
        </w:rPr>
        <w:t>规定或乙方书面承诺（两者以较长的为准）的质量保证期内，本保证保持有效。</w:t>
      </w:r>
    </w:p>
    <w:p w14:paraId="49E9B706">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（2）在质量保证期内所发现的缺陷，甲方应尽快以书面形式通知乙方。</w:t>
      </w:r>
    </w:p>
    <w:p w14:paraId="261F3B52">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（3）乙方收到通知后，应在</w:t>
      </w:r>
      <w:r>
        <w:rPr>
          <w:rFonts w:hint="eastAsia" w:ascii="宋体" w:hAnsi="宋体" w:eastAsia="宋体" w:cs="宋体"/>
          <w:b/>
          <w:color w:val="auto"/>
          <w:sz w:val="24"/>
          <w:szCs w:val="24"/>
          <w:highlight w:val="none"/>
        </w:rPr>
        <w:t>【政府采购合同专用条款】</w:t>
      </w:r>
      <w:r>
        <w:rPr>
          <w:rFonts w:hint="eastAsia" w:ascii="宋体" w:hAnsi="宋体" w:eastAsia="宋体" w:cs="宋体"/>
          <w:color w:val="auto"/>
          <w:sz w:val="24"/>
          <w:szCs w:val="24"/>
          <w:highlight w:val="none"/>
        </w:rPr>
        <w:t>规定的响应时间内以合理的速度免费维修或更换有缺陷的货物或部件。</w:t>
      </w:r>
    </w:p>
    <w:p w14:paraId="17337FF9">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（4）在质量保证期内，如果货物的质量或规格与合同不符，或证实货物是有缺陷的，包括潜在的缺陷或使用不符合要求的材料等，甲方可以根据本合同第15.1条规定以书面形式追究乙方的违约责任。</w:t>
      </w:r>
    </w:p>
    <w:p w14:paraId="2DC13C5D">
      <w:pPr>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（5）乙方在约定的时间内未能弥补缺陷，甲方可采取必要的补救措施，但其风险和费用将由乙方承担，甲方根据合同约定对乙方行使的其他权利不受影响。</w:t>
      </w:r>
    </w:p>
    <w:p w14:paraId="69358B82">
      <w:pPr>
        <w:adjustRightInd w:val="0"/>
        <w:snapToGrid w:val="0"/>
        <w:spacing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9. 权利瑕疵担保</w:t>
      </w:r>
    </w:p>
    <w:p w14:paraId="4635DE41">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9.1 乙方保证对其出售的货物享有合法的权利。</w:t>
      </w:r>
    </w:p>
    <w:p w14:paraId="1B9C5043">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9.2 乙方保证在交付的货物上不存在抵押权等担保物权。</w:t>
      </w:r>
    </w:p>
    <w:p w14:paraId="56BFDC5A">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9.3 如甲方使用上述货物构成对第三人侵权的，则由乙方承担全部责任。</w:t>
      </w:r>
    </w:p>
    <w:p w14:paraId="19754383">
      <w:pPr>
        <w:autoSpaceDE w:val="0"/>
        <w:autoSpaceDN w:val="0"/>
        <w:adjustRightInd w:val="0"/>
        <w:snapToGrid w:val="0"/>
        <w:spacing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10. 知识产权保护</w:t>
      </w:r>
    </w:p>
    <w:p w14:paraId="42ABB1C3">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10.1 乙方对其所销售的货物应当享有知识产权或经权利人合法授权，保证没有侵犯任何第三人的知识产权等权利。</w:t>
      </w:r>
      <w:bookmarkStart w:id="60" w:name="_Hlk163047038"/>
      <w:r>
        <w:rPr>
          <w:rFonts w:hint="eastAsia" w:ascii="宋体" w:hAnsi="宋体" w:eastAsia="宋体" w:cs="宋体"/>
          <w:color w:val="auto"/>
          <w:sz w:val="24"/>
          <w:szCs w:val="24"/>
          <w:highlight w:val="none"/>
        </w:rPr>
        <w:t>因违反前述约定对第三人构成侵权的，应当由乙方向第三人承担法律责任；甲方依法向第三人赔偿后，有权向乙方追偿。甲方有其他损失的，乙方应当赔偿</w:t>
      </w:r>
      <w:bookmarkEnd w:id="60"/>
      <w:r>
        <w:rPr>
          <w:rFonts w:hint="eastAsia" w:ascii="宋体" w:hAnsi="宋体" w:eastAsia="宋体" w:cs="宋体"/>
          <w:color w:val="auto"/>
          <w:sz w:val="24"/>
          <w:szCs w:val="24"/>
          <w:highlight w:val="none"/>
        </w:rPr>
        <w:t>。</w:t>
      </w:r>
    </w:p>
    <w:p w14:paraId="4FCF5005">
      <w:pPr>
        <w:autoSpaceDE w:val="0"/>
        <w:autoSpaceDN w:val="0"/>
        <w:adjustRightInd w:val="0"/>
        <w:snapToGrid w:val="0"/>
        <w:spacing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11. 保密义务</w:t>
      </w:r>
    </w:p>
    <w:p w14:paraId="5F3DA2E9">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11.1 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Pr>
          <w:rFonts w:hint="eastAsia" w:ascii="宋体" w:hAnsi="宋体" w:eastAsia="宋体" w:cs="宋体"/>
          <w:b/>
          <w:bCs/>
          <w:color w:val="auto"/>
          <w:sz w:val="24"/>
          <w:szCs w:val="24"/>
          <w:highlight w:val="none"/>
        </w:rPr>
        <w:t>【政府采购合同专用条款】</w:t>
      </w:r>
      <w:r>
        <w:rPr>
          <w:rFonts w:hint="eastAsia" w:ascii="宋体" w:hAnsi="宋体" w:eastAsia="宋体" w:cs="宋体"/>
          <w:color w:val="auto"/>
          <w:sz w:val="24"/>
          <w:szCs w:val="24"/>
          <w:highlight w:val="none"/>
        </w:rPr>
        <w:t>中约定。</w:t>
      </w:r>
    </w:p>
    <w:p w14:paraId="5A9FAF57">
      <w:pPr>
        <w:autoSpaceDE w:val="0"/>
        <w:autoSpaceDN w:val="0"/>
        <w:adjustRightInd w:val="0"/>
        <w:snapToGrid w:val="0"/>
        <w:spacing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12. 合同价款支付</w:t>
      </w:r>
    </w:p>
    <w:p w14:paraId="3B168F9F">
      <w:pPr>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12.1 合同价款支付按照国库集中支付制度及财政管理相关规定执行。</w:t>
      </w:r>
    </w:p>
    <w:p w14:paraId="6B9099A1">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12.2 对于满足合同约定支付条件的，甲方原则上应当自收到发票后7个工作日内将资金支付到合同约定的乙方账户，不得以机构变动、人员更替、政策调整等为由迟延付款，不得将采购文件和合同中未规定的义务作为向乙方付款的条件。具体合同价款支付时间在【政府采购合同专用条款】中约定。</w:t>
      </w:r>
    </w:p>
    <w:p w14:paraId="2562B1A5">
      <w:pPr>
        <w:pStyle w:val="2"/>
        <w:rPr>
          <w:rFonts w:hint="eastAsia"/>
          <w:color w:val="auto"/>
          <w:highlight w:val="none"/>
        </w:rPr>
      </w:pPr>
      <w:r>
        <w:rPr>
          <w:rFonts w:hint="eastAsia"/>
          <w:color w:val="auto"/>
          <w:highlight w:val="none"/>
        </w:rPr>
        <w:t>13. 履约保证金</w:t>
      </w:r>
    </w:p>
    <w:p w14:paraId="5645E008">
      <w:pPr>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13.1 乙方应当以支票、汇票、本票或者金融机构、担保机构出具的保函等非现金形式提交。</w:t>
      </w:r>
    </w:p>
    <w:p w14:paraId="51B06B9F">
      <w:pPr>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13.2 如果乙方出现</w:t>
      </w:r>
      <w:r>
        <w:rPr>
          <w:rFonts w:hint="eastAsia" w:ascii="宋体" w:hAnsi="宋体" w:eastAsia="宋体" w:cs="宋体"/>
          <w:b/>
          <w:bCs/>
          <w:color w:val="auto"/>
          <w:sz w:val="24"/>
          <w:szCs w:val="24"/>
          <w:highlight w:val="none"/>
        </w:rPr>
        <w:t>【政府采购合同专用条款】</w:t>
      </w:r>
      <w:r>
        <w:rPr>
          <w:rFonts w:hint="eastAsia" w:ascii="宋体" w:hAnsi="宋体" w:eastAsia="宋体" w:cs="宋体"/>
          <w:color w:val="auto"/>
          <w:sz w:val="24"/>
          <w:szCs w:val="24"/>
          <w:highlight w:val="none"/>
        </w:rPr>
        <w:t>约定情形的，履约保证金不予退还；如果乙方未能按合同约定全面履行义务，甲方有权从履约保证金中取得补偿或赔偿，且不影响甲方要求乙方承担合同约定的超过履约保证金的违约责任的权利。</w:t>
      </w:r>
    </w:p>
    <w:p w14:paraId="781D8EFF">
      <w:pPr>
        <w:spacing w:line="360" w:lineRule="auto"/>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13.3 甲方在项目通过验收后按照</w:t>
      </w:r>
      <w:r>
        <w:rPr>
          <w:rFonts w:hint="eastAsia" w:ascii="宋体" w:hAnsi="宋体" w:eastAsia="宋体" w:cs="宋体"/>
          <w:b/>
          <w:color w:val="auto"/>
          <w:sz w:val="24"/>
          <w:szCs w:val="24"/>
          <w:highlight w:val="none"/>
        </w:rPr>
        <w:t>【政府采购合同专用条款】</w:t>
      </w:r>
      <w:r>
        <w:rPr>
          <w:rFonts w:hint="eastAsia" w:ascii="宋体" w:hAnsi="宋体" w:eastAsia="宋体" w:cs="宋体"/>
          <w:color w:val="auto"/>
          <w:sz w:val="24"/>
          <w:szCs w:val="24"/>
          <w:highlight w:val="none"/>
        </w:rPr>
        <w:t>规定的时间内将履约保证金退还乙方；逾期退还的，乙方可要求甲方支付违约金，违约金按照</w:t>
      </w:r>
      <w:r>
        <w:rPr>
          <w:rFonts w:hint="eastAsia" w:ascii="宋体" w:hAnsi="宋体" w:eastAsia="宋体" w:cs="宋体"/>
          <w:b/>
          <w:color w:val="auto"/>
          <w:sz w:val="24"/>
          <w:szCs w:val="24"/>
          <w:highlight w:val="none"/>
        </w:rPr>
        <w:t>【政府采购合同专用条款】</w:t>
      </w:r>
      <w:r>
        <w:rPr>
          <w:rFonts w:hint="eastAsia" w:ascii="宋体" w:hAnsi="宋体" w:eastAsia="宋体" w:cs="宋体"/>
          <w:color w:val="auto"/>
          <w:sz w:val="24"/>
          <w:szCs w:val="24"/>
          <w:highlight w:val="none"/>
        </w:rPr>
        <w:t>规定支付。</w:t>
      </w:r>
    </w:p>
    <w:p w14:paraId="2103BD7B">
      <w:pPr>
        <w:autoSpaceDE w:val="0"/>
        <w:autoSpaceDN w:val="0"/>
        <w:adjustRightInd w:val="0"/>
        <w:snapToGrid w:val="0"/>
        <w:spacing w:line="360" w:lineRule="auto"/>
        <w:jc w:val="left"/>
        <w:rPr>
          <w:rFonts w:hint="eastAsia" w:ascii="宋体" w:hAnsi="宋体" w:eastAsia="宋体" w:cs="宋体"/>
          <w:b/>
          <w:color w:val="auto"/>
          <w:sz w:val="24"/>
          <w:szCs w:val="24"/>
          <w:highlight w:val="none"/>
        </w:rPr>
      </w:pPr>
      <w:r>
        <w:rPr>
          <w:rFonts w:hint="eastAsia" w:ascii="宋体" w:hAnsi="宋体" w:eastAsia="宋体" w:cs="宋体"/>
          <w:b/>
          <w:bCs/>
          <w:color w:val="auto"/>
          <w:sz w:val="24"/>
          <w:szCs w:val="24"/>
          <w:highlight w:val="none"/>
        </w:rPr>
        <w:t xml:space="preserve">14. </w:t>
      </w:r>
      <w:r>
        <w:rPr>
          <w:rFonts w:hint="eastAsia" w:ascii="宋体" w:hAnsi="宋体" w:eastAsia="宋体" w:cs="宋体"/>
          <w:b/>
          <w:color w:val="auto"/>
          <w:sz w:val="24"/>
          <w:szCs w:val="24"/>
          <w:highlight w:val="none"/>
        </w:rPr>
        <w:t>售后服务</w:t>
      </w:r>
    </w:p>
    <w:p w14:paraId="2788E071">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14.1 除项目不涉及或采购活动中明确约定无须承担外，乙方还应提供下列服务：</w:t>
      </w:r>
    </w:p>
    <w:p w14:paraId="491710D6">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（1）货物的现场移动、安装、调试、启动监督及技术支持；</w:t>
      </w:r>
    </w:p>
    <w:p w14:paraId="14EDCE04">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（2）提供货物组装和维修所需的专用工具和辅助材料；</w:t>
      </w:r>
    </w:p>
    <w:p w14:paraId="020534FE">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（3）在</w:t>
      </w:r>
      <w:r>
        <w:rPr>
          <w:rFonts w:hint="eastAsia" w:ascii="宋体" w:hAnsi="宋体" w:eastAsia="宋体" w:cs="宋体"/>
          <w:b/>
          <w:bCs/>
          <w:color w:val="auto"/>
          <w:sz w:val="24"/>
          <w:szCs w:val="24"/>
          <w:highlight w:val="none"/>
        </w:rPr>
        <w:t>【政府采购合同专用条款】</w:t>
      </w:r>
      <w:r>
        <w:rPr>
          <w:rFonts w:hint="eastAsia" w:ascii="宋体" w:hAnsi="宋体" w:eastAsia="宋体" w:cs="宋体"/>
          <w:color w:val="auto"/>
          <w:sz w:val="24"/>
          <w:szCs w:val="24"/>
          <w:highlight w:val="none"/>
        </w:rPr>
        <w:t>约定的期限内对所有的货物实施运行监督、维修，但前提条件是该服务并不能免除乙方在质量保证期内所承担的义务；</w:t>
      </w:r>
    </w:p>
    <w:p w14:paraId="1CCE96F8">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（4）在制造商所在地或指定现场就货物的安装、启动、运营、维护、废弃处置等对甲方操作人员进行培训；</w:t>
      </w:r>
    </w:p>
    <w:p w14:paraId="3C825F65">
      <w:pPr>
        <w:pStyle w:val="62"/>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（5）依照法律、行政法规的规定或者按照</w:t>
      </w:r>
      <w:r>
        <w:rPr>
          <w:rFonts w:hint="eastAsia" w:ascii="宋体" w:hAnsi="宋体" w:eastAsia="宋体" w:cs="宋体"/>
          <w:b/>
          <w:bCs/>
          <w:color w:val="auto"/>
          <w:sz w:val="24"/>
          <w:szCs w:val="24"/>
          <w:highlight w:val="none"/>
        </w:rPr>
        <w:t>【政府采购合同专用条款】</w:t>
      </w:r>
      <w:r>
        <w:rPr>
          <w:rFonts w:hint="eastAsia" w:ascii="宋体" w:hAnsi="宋体" w:eastAsia="宋体" w:cs="宋体"/>
          <w:color w:val="auto"/>
          <w:sz w:val="24"/>
          <w:szCs w:val="24"/>
          <w:highlight w:val="none"/>
        </w:rPr>
        <w:t>约定，货物在有效使用年限届满后应予回收的，乙方负有自行或者委托第三人对货物予以回收的义务；</w:t>
      </w:r>
    </w:p>
    <w:p w14:paraId="7092721E">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w:t>
      </w:r>
      <w:r>
        <w:rPr>
          <w:rFonts w:hint="eastAsia" w:ascii="宋体" w:hAnsi="宋体" w:eastAsia="宋体" w:cs="宋体"/>
          <w:b/>
          <w:color w:val="auto"/>
          <w:sz w:val="24"/>
          <w:szCs w:val="24"/>
          <w:highlight w:val="none"/>
        </w:rPr>
        <w:t>【政府采购合同专用条款】</w:t>
      </w:r>
      <w:r>
        <w:rPr>
          <w:rFonts w:hint="eastAsia" w:ascii="宋体" w:hAnsi="宋体" w:eastAsia="宋体" w:cs="宋体"/>
          <w:color w:val="auto"/>
          <w:sz w:val="24"/>
          <w:szCs w:val="24"/>
          <w:highlight w:val="none"/>
        </w:rPr>
        <w:t>规定由乙方提供的其他服务。</w:t>
      </w:r>
    </w:p>
    <w:p w14:paraId="3D30CD3A">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14.2 乙方提供的售后服务的费用已包含在合同价款中，甲方不再另行支付。</w:t>
      </w:r>
    </w:p>
    <w:p w14:paraId="143E0C4E">
      <w:pPr>
        <w:adjustRightInd w:val="0"/>
        <w:snapToGrid w:val="0"/>
        <w:spacing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15. 违约责任</w:t>
      </w:r>
    </w:p>
    <w:p w14:paraId="2B6AC4D5">
      <w:pPr>
        <w:adjustRightInd w:val="0"/>
        <w:snapToGrid w:val="0"/>
        <w:spacing w:line="360" w:lineRule="auto"/>
        <w:ind w:firstLine="480" w:firstLineChars="200"/>
        <w:jc w:val="left"/>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15.1质量瑕疵的违约责任</w:t>
      </w:r>
    </w:p>
    <w:p w14:paraId="3A0DF792">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乙方提供的产品不符合合同约定的质量标准或存在产品质量缺陷，甲方有权要求乙方根据</w:t>
      </w:r>
      <w:r>
        <w:rPr>
          <w:rFonts w:hint="eastAsia" w:ascii="宋体" w:hAnsi="宋体" w:eastAsia="宋体" w:cs="宋体"/>
          <w:b/>
          <w:color w:val="auto"/>
          <w:sz w:val="24"/>
          <w:szCs w:val="24"/>
          <w:highlight w:val="none"/>
        </w:rPr>
        <w:t>【政府采购合同专用条款】</w:t>
      </w:r>
      <w:r>
        <w:rPr>
          <w:rFonts w:hint="eastAsia" w:ascii="宋体" w:hAnsi="宋体" w:eastAsia="宋体" w:cs="宋体"/>
          <w:bCs/>
          <w:color w:val="auto"/>
          <w:sz w:val="24"/>
          <w:szCs w:val="24"/>
          <w:highlight w:val="none"/>
        </w:rPr>
        <w:t>要求</w:t>
      </w:r>
      <w:r>
        <w:rPr>
          <w:rFonts w:hint="eastAsia" w:ascii="宋体" w:hAnsi="宋体" w:eastAsia="宋体" w:cs="宋体"/>
          <w:color w:val="auto"/>
          <w:sz w:val="24"/>
          <w:szCs w:val="24"/>
          <w:highlight w:val="none"/>
        </w:rPr>
        <w:t>及时修理、重作、更换，并承担由此给甲方造成的损失。</w:t>
      </w:r>
    </w:p>
    <w:p w14:paraId="44DF6DDC">
      <w:pPr>
        <w:autoSpaceDE w:val="0"/>
        <w:autoSpaceDN w:val="0"/>
        <w:adjustRightInd w:val="0"/>
        <w:snapToGrid w:val="0"/>
        <w:spacing w:line="360" w:lineRule="auto"/>
        <w:ind w:firstLine="480" w:firstLineChars="200"/>
        <w:jc w:val="left"/>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15.2 迟延交货的违约责任</w:t>
      </w:r>
    </w:p>
    <w:p w14:paraId="4A86783F">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14:paraId="23BFF53C">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（2）如果乙方没有按照合同规定的时间交货和提供相关服务，甲方有权从货款中扣除误期赔偿费而不影响合同项下的其他补救方法，赔偿费按</w:t>
      </w:r>
      <w:r>
        <w:rPr>
          <w:rFonts w:hint="eastAsia" w:ascii="宋体" w:hAnsi="宋体" w:eastAsia="宋体" w:cs="宋体"/>
          <w:b/>
          <w:color w:val="auto"/>
          <w:sz w:val="24"/>
          <w:szCs w:val="24"/>
          <w:highlight w:val="none"/>
        </w:rPr>
        <w:t>【政府采购合同专用条款】</w:t>
      </w:r>
      <w:r>
        <w:rPr>
          <w:rFonts w:hint="eastAsia" w:ascii="宋体" w:hAnsi="宋体" w:eastAsia="宋体" w:cs="宋体"/>
          <w:color w:val="auto"/>
          <w:sz w:val="24"/>
          <w:szCs w:val="24"/>
          <w:highlight w:val="none"/>
        </w:rPr>
        <w:t>规定执行。如果涉及公共利益，且赔偿金额无法弥补公共利益损失，甲方可要求继续履行或者采取其他补救措施。</w:t>
      </w:r>
    </w:p>
    <w:p w14:paraId="162FCB4D">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15.3 迟延支付的违约责任</w:t>
      </w:r>
    </w:p>
    <w:p w14:paraId="42970DE8">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甲方存在迟延支付乙方合同款项的，应当承担</w:t>
      </w:r>
      <w:r>
        <w:rPr>
          <w:rFonts w:hint="eastAsia" w:ascii="宋体" w:hAnsi="宋体" w:eastAsia="宋体" w:cs="宋体"/>
          <w:b/>
          <w:bCs/>
          <w:color w:val="auto"/>
          <w:sz w:val="24"/>
          <w:szCs w:val="24"/>
          <w:highlight w:val="none"/>
        </w:rPr>
        <w:t>【政府采购合同专用条款】</w:t>
      </w:r>
      <w:r>
        <w:rPr>
          <w:rFonts w:hint="eastAsia" w:ascii="宋体" w:hAnsi="宋体" w:eastAsia="宋体" w:cs="宋体"/>
          <w:color w:val="auto"/>
          <w:sz w:val="24"/>
          <w:szCs w:val="24"/>
          <w:highlight w:val="none"/>
        </w:rPr>
        <w:t>规定的逾期付款利息。</w:t>
      </w:r>
    </w:p>
    <w:p w14:paraId="37FD5B51">
      <w:pPr>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15.4其他违约责任根据项目实际需要按</w:t>
      </w:r>
      <w:r>
        <w:rPr>
          <w:rFonts w:hint="eastAsia" w:ascii="宋体" w:hAnsi="宋体" w:eastAsia="宋体" w:cs="宋体"/>
          <w:b/>
          <w:bCs/>
          <w:color w:val="auto"/>
          <w:sz w:val="24"/>
          <w:szCs w:val="24"/>
          <w:highlight w:val="none"/>
        </w:rPr>
        <w:t>【政府采购合同专用条款】</w:t>
      </w:r>
      <w:r>
        <w:rPr>
          <w:rFonts w:hint="eastAsia" w:ascii="宋体" w:hAnsi="宋体" w:eastAsia="宋体" w:cs="宋体"/>
          <w:color w:val="auto"/>
          <w:sz w:val="24"/>
          <w:szCs w:val="24"/>
          <w:highlight w:val="none"/>
        </w:rPr>
        <w:t>规定执行。</w:t>
      </w:r>
    </w:p>
    <w:p w14:paraId="0DA50AB2">
      <w:pPr>
        <w:numPr>
          <w:ilvl w:val="0"/>
          <w:numId w:val="7"/>
        </w:numPr>
        <w:autoSpaceDE w:val="0"/>
        <w:autoSpaceDN w:val="0"/>
        <w:adjustRightInd w:val="0"/>
        <w:snapToGrid w:val="0"/>
        <w:spacing w:line="360" w:lineRule="auto"/>
        <w:jc w:val="left"/>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合同变更、中止与终止</w:t>
      </w:r>
    </w:p>
    <w:p w14:paraId="0F980118">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16.1合同的变更</w:t>
      </w:r>
    </w:p>
    <w:p w14:paraId="556EB28F">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政府采购合同履行中，在不改变合同其他条款的前提下，甲方可以在合同价款10%的范围内追加与合同标的相同的货物，并就此与乙方协商一致后签订补充协议。</w:t>
      </w:r>
    </w:p>
    <w:p w14:paraId="12C504AC">
      <w:pPr>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16.2合同的中止</w:t>
      </w:r>
    </w:p>
    <w:p w14:paraId="2B510377">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（1）合同履行过程中因供应商就采购文件、采购过程或结果提起投诉的，甲方认为有必要的，可以中止合同的履行。</w:t>
      </w:r>
    </w:p>
    <w:p w14:paraId="5DFEC2EC">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（2）合同履行过程中，如果乙方出现以下情形之一的：</w:t>
      </w:r>
      <w:r>
        <w:rPr>
          <w:rFonts w:hint="eastAsia" w:ascii="宋体" w:hAnsi="宋体" w:eastAsia="宋体" w:cs="宋体"/>
          <w:color w:val="auto"/>
          <w:sz w:val="24"/>
          <w:szCs w:val="24"/>
          <w:highlight w:val="none"/>
          <w:lang w:eastAsia="zh-CN"/>
        </w:rPr>
        <w:t>1.</w:t>
      </w:r>
      <w:r>
        <w:rPr>
          <w:rFonts w:hint="eastAsia" w:ascii="宋体" w:hAnsi="宋体" w:eastAsia="宋体" w:cs="宋体"/>
          <w:color w:val="auto"/>
          <w:sz w:val="24"/>
          <w:szCs w:val="24"/>
          <w:highlight w:val="none"/>
        </w:rPr>
        <w:t>经营状况严重恶化；</w:t>
      </w:r>
      <w:r>
        <w:rPr>
          <w:rFonts w:hint="eastAsia" w:ascii="宋体" w:hAnsi="宋体" w:eastAsia="宋体" w:cs="宋体"/>
          <w:color w:val="auto"/>
          <w:sz w:val="24"/>
          <w:szCs w:val="24"/>
          <w:highlight w:val="none"/>
          <w:lang w:eastAsia="zh-CN"/>
        </w:rPr>
        <w:t>2.</w:t>
      </w:r>
      <w:r>
        <w:rPr>
          <w:rFonts w:hint="eastAsia" w:ascii="宋体" w:hAnsi="宋体" w:eastAsia="宋体" w:cs="宋体"/>
          <w:color w:val="auto"/>
          <w:sz w:val="24"/>
          <w:szCs w:val="24"/>
          <w:highlight w:val="none"/>
        </w:rPr>
        <w:t>转移财产、抽逃资金，以逃避债务；3．丧失商业信誉；4．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14:paraId="1188B7A5">
      <w:pPr>
        <w:pStyle w:val="62"/>
        <w:spacing w:line="360" w:lineRule="auto"/>
        <w:ind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（3）乙方分立、合并或者变更住所的，应当及时以书面形式告知甲方。乙方没有及时告知甲方，致使合同履行发生困难的，甲方可以中止合同履行并要求乙方承担由此给甲方造成的损失。</w:t>
      </w:r>
    </w:p>
    <w:p w14:paraId="44F9FB99">
      <w:pPr>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（4）甲方不得以行政区划调整、政府换届、机构或者职能调整以及相关责任人更替为由中止合同。</w:t>
      </w:r>
    </w:p>
    <w:p w14:paraId="4536016F">
      <w:pPr>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16.3合同的终止</w:t>
      </w:r>
    </w:p>
    <w:p w14:paraId="43E1EBE5">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（1）合同因有效期限届满而终止；</w:t>
      </w:r>
    </w:p>
    <w:p w14:paraId="4D239199">
      <w:pPr>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（2）乙方未按合同约定履行，构成根本性违约的，甲方有权终止合同，并追究乙方的违约责任。</w:t>
      </w:r>
    </w:p>
    <w:p w14:paraId="68957984">
      <w:pPr>
        <w:pStyle w:val="62"/>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16.4 </w:t>
      </w:r>
      <w:r>
        <w:rPr>
          <w:rFonts w:hint="eastAsia" w:ascii="宋体" w:hAnsi="宋体" w:eastAsia="宋体" w:cs="宋体"/>
          <w:color w:val="auto"/>
          <w:kern w:val="2"/>
          <w:sz w:val="24"/>
          <w:szCs w:val="24"/>
          <w:highlight w:val="none"/>
        </w:rPr>
        <w:t>涉及国家利益、社会公共利益的情形</w:t>
      </w:r>
    </w:p>
    <w:p w14:paraId="49639C1D">
      <w:pPr>
        <w:pStyle w:val="62"/>
        <w:spacing w:line="360" w:lineRule="auto"/>
        <w:ind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政府采购合同继续履行将损害国家利益和社会公共利益的，双方当事人应当变更、中止或者终止合同。有过错的一方应当承担赔偿责任，双方都有过错的，各自承担相应的责任。</w:t>
      </w:r>
    </w:p>
    <w:p w14:paraId="0D68D23D">
      <w:pPr>
        <w:autoSpaceDE w:val="0"/>
        <w:autoSpaceDN w:val="0"/>
        <w:adjustRightInd w:val="0"/>
        <w:snapToGrid w:val="0"/>
        <w:spacing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17. 合同分包</w:t>
      </w:r>
    </w:p>
    <w:p w14:paraId="09562F80">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17.1 乙方不得将合同转包给其他供应商。涉及合同分包的，乙方应根据采购文件和投标（响应）文件规定进行合同分包。</w:t>
      </w:r>
    </w:p>
    <w:p w14:paraId="4A6903F6">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17.2 乙方执行政府采购政策向中小企业依法分包的，乙方应当按采购文件和投标（响应）文件签订分包意向协议，分包意向协议属于本合同组成部分。</w:t>
      </w:r>
    </w:p>
    <w:p w14:paraId="39C9D2A1">
      <w:pPr>
        <w:autoSpaceDE w:val="0"/>
        <w:autoSpaceDN w:val="0"/>
        <w:adjustRightInd w:val="0"/>
        <w:snapToGrid w:val="0"/>
        <w:spacing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18. 不可抗力</w:t>
      </w:r>
    </w:p>
    <w:p w14:paraId="0EA2314D">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18.1 不可抗力是指合同双方不能预见、不能避免且不能克服的客观情况。</w:t>
      </w:r>
    </w:p>
    <w:p w14:paraId="7F49FD08">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18.2 任何一方对由于不可抗力造成的部分或全部不能履行合同不承担违约责任。但迟延履行后发生不可抗力的，不能免除责任。</w:t>
      </w:r>
    </w:p>
    <w:p w14:paraId="547D2699">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18.3 遇有不可抗力的一方，应及时将事件情况以书面形式告知另一方，并在事件发生后及时向另一方提交合同不能履行或部分不能履行或需要延期履行的详细报告，以及证明不可抗力发生及其持续时间的证据。</w:t>
      </w:r>
    </w:p>
    <w:p w14:paraId="603E9DD0">
      <w:pPr>
        <w:autoSpaceDE w:val="0"/>
        <w:autoSpaceDN w:val="0"/>
        <w:adjustRightInd w:val="0"/>
        <w:snapToGrid w:val="0"/>
        <w:spacing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19. 解决争议的方法</w:t>
      </w:r>
    </w:p>
    <w:p w14:paraId="5D39136C">
      <w:pPr>
        <w:pStyle w:val="62"/>
        <w:spacing w:line="360" w:lineRule="auto"/>
        <w:ind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19.1 因本合同及合同有关事项发生的争议，由甲乙双方友好协商解决。协商不成时，可以向有关组织申请调解。合同一方或双方不愿调解或调解不成的，可以通过仲裁或诉讼的方式解决争议。</w:t>
      </w:r>
    </w:p>
    <w:p w14:paraId="71AAEE6C">
      <w:pPr>
        <w:pStyle w:val="62"/>
        <w:spacing w:line="360" w:lineRule="auto"/>
        <w:ind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19.2 选择仲裁的，应在</w:t>
      </w:r>
      <w:r>
        <w:rPr>
          <w:rFonts w:hint="eastAsia" w:ascii="宋体" w:hAnsi="宋体" w:eastAsia="宋体" w:cs="宋体"/>
          <w:b/>
          <w:bCs/>
          <w:color w:val="auto"/>
          <w:sz w:val="24"/>
          <w:szCs w:val="24"/>
          <w:highlight w:val="none"/>
        </w:rPr>
        <w:t>【政府采购合同专用条款】</w:t>
      </w:r>
      <w:r>
        <w:rPr>
          <w:rFonts w:hint="eastAsia" w:ascii="宋体" w:hAnsi="宋体" w:eastAsia="宋体" w:cs="宋体"/>
          <w:color w:val="auto"/>
          <w:sz w:val="24"/>
          <w:szCs w:val="24"/>
          <w:highlight w:val="none"/>
        </w:rPr>
        <w:t>中明确仲裁机构及仲裁地；通过诉讼方式解决的，可以在</w:t>
      </w:r>
      <w:r>
        <w:rPr>
          <w:rFonts w:hint="eastAsia" w:ascii="宋体" w:hAnsi="宋体" w:eastAsia="宋体" w:cs="宋体"/>
          <w:b/>
          <w:bCs/>
          <w:color w:val="auto"/>
          <w:sz w:val="24"/>
          <w:szCs w:val="24"/>
          <w:highlight w:val="none"/>
        </w:rPr>
        <w:t>【政府采购合同专用条款】</w:t>
      </w:r>
      <w:r>
        <w:rPr>
          <w:rFonts w:hint="eastAsia" w:ascii="宋体" w:hAnsi="宋体" w:eastAsia="宋体" w:cs="宋体"/>
          <w:color w:val="auto"/>
          <w:sz w:val="24"/>
          <w:szCs w:val="24"/>
          <w:highlight w:val="none"/>
        </w:rPr>
        <w:t>中进一步约定选择与争议有实际联系的地点的人民法院管辖，但管辖法院的约定不得违反级别管辖和专属管辖的规定。</w:t>
      </w:r>
    </w:p>
    <w:p w14:paraId="45899D6B">
      <w:pPr>
        <w:pStyle w:val="62"/>
        <w:spacing w:line="360" w:lineRule="auto"/>
        <w:ind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19.3 如甲乙双方有争议的事项不影响合同其他部分的履行，在争议解决期间，合同其他部分应当继续履行。</w:t>
      </w:r>
    </w:p>
    <w:p w14:paraId="4B68F932">
      <w:pPr>
        <w:autoSpaceDE w:val="0"/>
        <w:autoSpaceDN w:val="0"/>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20. 政府采购政策</w:t>
      </w:r>
    </w:p>
    <w:p w14:paraId="152CDF83">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20.1 </w:t>
      </w:r>
      <w:r>
        <w:rPr>
          <w:rFonts w:hint="eastAsia" w:ascii="宋体" w:hAnsi="宋体" w:eastAsia="宋体" w:cs="宋体"/>
          <w:color w:val="auto"/>
          <w:sz w:val="24"/>
          <w:szCs w:val="24"/>
          <w:highlight w:val="none"/>
          <w:lang w:val="en-GB"/>
        </w:rPr>
        <w:t>本合同应当按照规定执行政府采购政策。</w:t>
      </w:r>
    </w:p>
    <w:p w14:paraId="75877117">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20.2 本合同依法执行政府采购政策的方式和内容，属于合同履约验收的范围。甲乙双方</w:t>
      </w:r>
      <w:r>
        <w:rPr>
          <w:rFonts w:hint="eastAsia" w:ascii="宋体" w:hAnsi="宋体" w:eastAsia="宋体" w:cs="宋体"/>
          <w:color w:val="auto"/>
          <w:sz w:val="24"/>
          <w:szCs w:val="24"/>
          <w:highlight w:val="none"/>
          <w:lang w:val="en-GB"/>
        </w:rPr>
        <w:t>未按规定要求执行政府采购政策造成损失的</w:t>
      </w:r>
      <w:r>
        <w:rPr>
          <w:rFonts w:hint="eastAsia" w:ascii="宋体" w:hAnsi="宋体" w:eastAsia="宋体" w:cs="宋体"/>
          <w:color w:val="auto"/>
          <w:sz w:val="24"/>
          <w:szCs w:val="24"/>
          <w:highlight w:val="none"/>
        </w:rPr>
        <w:t>，有过错的一方应当承担赔偿责任，双方都有过错的，各自承担相应的责任。</w:t>
      </w:r>
    </w:p>
    <w:p w14:paraId="680A6AA7">
      <w:pPr>
        <w:pStyle w:val="2"/>
        <w:rPr>
          <w:rFonts w:hint="eastAsia"/>
          <w:color w:val="auto"/>
          <w:highlight w:val="none"/>
        </w:rPr>
      </w:pPr>
      <w:r>
        <w:rPr>
          <w:rFonts w:hint="eastAsia"/>
          <w:color w:val="auto"/>
          <w:highlight w:val="none"/>
        </w:rPr>
        <w:t>20.3 对于为落实中小企业支持政策，通过采购项目整体预留、设置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14:paraId="72AA66B3">
      <w:pPr>
        <w:autoSpaceDE w:val="0"/>
        <w:autoSpaceDN w:val="0"/>
        <w:adjustRightInd w:val="0"/>
        <w:snapToGrid w:val="0"/>
        <w:spacing w:line="360" w:lineRule="auto"/>
        <w:jc w:val="left"/>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21. 法律适用</w:t>
      </w:r>
    </w:p>
    <w:p w14:paraId="0E32DFA9">
      <w:pPr>
        <w:pStyle w:val="62"/>
        <w:spacing w:line="360" w:lineRule="auto"/>
        <w:ind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21.1 本合同的订立、生效、解释、履行及与本合同有关的争议解决，均适用法律、行政法规。</w:t>
      </w:r>
    </w:p>
    <w:p w14:paraId="50BB08F8">
      <w:pPr>
        <w:pStyle w:val="62"/>
        <w:spacing w:line="360" w:lineRule="auto"/>
        <w:ind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21.2 本合同条款与法律、行政法规的强制性规定不一致的，双方当事人应按照法律、行政法规的强制性规定修改本合同的相关条款。</w:t>
      </w:r>
    </w:p>
    <w:p w14:paraId="3254033D">
      <w:pPr>
        <w:numPr>
          <w:ilvl w:val="255"/>
          <w:numId w:val="0"/>
        </w:numPr>
        <w:autoSpaceDE w:val="0"/>
        <w:autoSpaceDN w:val="0"/>
        <w:adjustRightInd w:val="0"/>
        <w:snapToGrid w:val="0"/>
        <w:spacing w:line="360" w:lineRule="auto"/>
        <w:jc w:val="left"/>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22. 通知</w:t>
      </w:r>
    </w:p>
    <w:p w14:paraId="5C0CF946">
      <w:pPr>
        <w:pStyle w:val="62"/>
        <w:spacing w:line="360" w:lineRule="auto"/>
        <w:ind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22.1 本合同任何一方向对方发出的通知、信件、数据电文等，应当发送至本合同第一部分《政府采购合同协议书》所约定的通讯地址、联系人、联系电话或电子邮箱。</w:t>
      </w:r>
    </w:p>
    <w:p w14:paraId="78C3E285">
      <w:pPr>
        <w:pStyle w:val="62"/>
        <w:spacing w:line="360" w:lineRule="auto"/>
        <w:ind w:firstLine="0" w:firstLineChars="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22.2 一方当事人变更名称、住所、联系人、联系电话或电子邮箱等信息的，应当在变更后3日内及时书面通知对方，对方实际收到变更通知前的送达仍为有效送达。</w:t>
      </w:r>
    </w:p>
    <w:p w14:paraId="0DD5FE55">
      <w:pPr>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22.3本合同一方给另一方的通知均应采用书面形式，传真或快递送到本合同中规定的对方的地址和办理签收手续。</w:t>
      </w:r>
    </w:p>
    <w:p w14:paraId="658AB9A6">
      <w:pPr>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22.4通知以送达之日或通知书中规定的生效之日起生效，两者中以较迟之日为准。</w:t>
      </w:r>
    </w:p>
    <w:p w14:paraId="16010D0B">
      <w:pPr>
        <w:numPr>
          <w:ilvl w:val="0"/>
          <w:numId w:val="8"/>
        </w:numPr>
        <w:adjustRightInd w:val="0"/>
        <w:snapToGrid w:val="0"/>
        <w:spacing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合同未尽事项</w:t>
      </w:r>
    </w:p>
    <w:p w14:paraId="415E1C83">
      <w:pPr>
        <w:adjustRightInd w:val="0"/>
        <w:snapToGrid w:val="0"/>
        <w:spacing w:line="360" w:lineRule="auto"/>
        <w:ind w:firstLine="480" w:firstLineChars="200"/>
        <w:jc w:val="left"/>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23.1合同未尽事项见</w:t>
      </w:r>
      <w:r>
        <w:rPr>
          <w:rFonts w:hint="eastAsia" w:ascii="宋体" w:hAnsi="宋体" w:eastAsia="宋体" w:cs="宋体"/>
          <w:b/>
          <w:color w:val="auto"/>
          <w:sz w:val="24"/>
          <w:szCs w:val="24"/>
          <w:highlight w:val="none"/>
        </w:rPr>
        <w:t>【政府采购合同专用条款】</w:t>
      </w:r>
      <w:r>
        <w:rPr>
          <w:rFonts w:hint="eastAsia" w:ascii="宋体" w:hAnsi="宋体" w:eastAsia="宋体" w:cs="宋体"/>
          <w:bCs/>
          <w:color w:val="auto"/>
          <w:sz w:val="24"/>
          <w:szCs w:val="24"/>
          <w:highlight w:val="none"/>
        </w:rPr>
        <w:t>。</w:t>
      </w:r>
    </w:p>
    <w:p w14:paraId="5278AC4C">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 xml:space="preserve">    23.2 合同附件与合同正文具有同等的法律效力。</w:t>
      </w:r>
      <w:bookmarkStart w:id="61" w:name="_Toc20313"/>
    </w:p>
    <w:p w14:paraId="7A76D039">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br w:type="page"/>
      </w:r>
    </w:p>
    <w:p w14:paraId="3B1F1B22">
      <w:pPr>
        <w:pStyle w:val="4"/>
        <w:adjustRightInd w:val="0"/>
        <w:snapToGrid w:val="0"/>
        <w:spacing w:before="120" w:beforeLines="50" w:line="360" w:lineRule="auto"/>
        <w:jc w:val="center"/>
        <w:rPr>
          <w:rFonts w:hint="eastAsia" w:cs="@仿宋_GB2312" w:asciiTheme="minorEastAsia" w:hAnsiTheme="minorEastAsia" w:eastAsiaTheme="minorEastAsia"/>
          <w:bCs w:val="0"/>
          <w:color w:val="auto"/>
          <w:sz w:val="24"/>
          <w:szCs w:val="20"/>
          <w:highlight w:val="none"/>
        </w:rPr>
      </w:pPr>
      <w:bookmarkStart w:id="62" w:name="_Toc221656366"/>
      <w:r>
        <w:rPr>
          <w:rFonts w:hint="eastAsia" w:cs="@仿宋_GB2312" w:asciiTheme="minorEastAsia" w:hAnsiTheme="minorEastAsia" w:eastAsiaTheme="minorEastAsia"/>
          <w:bCs w:val="0"/>
          <w:color w:val="auto"/>
          <w:sz w:val="24"/>
          <w:szCs w:val="20"/>
          <w:highlight w:val="none"/>
        </w:rPr>
        <w:t>第三节 政府采购合同专用条款</w:t>
      </w:r>
      <w:bookmarkEnd w:id="61"/>
      <w:bookmarkEnd w:id="62"/>
    </w:p>
    <w:tbl>
      <w:tblPr>
        <w:tblStyle w:val="25"/>
        <w:tblW w:w="8519" w:type="dxa"/>
        <w:tblInd w:w="108" w:type="dxa"/>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Layout w:type="fixed"/>
        <w:tblCellMar>
          <w:top w:w="0" w:type="dxa"/>
          <w:left w:w="108" w:type="dxa"/>
          <w:bottom w:w="0" w:type="dxa"/>
          <w:right w:w="108" w:type="dxa"/>
        </w:tblCellMar>
      </w:tblPr>
      <w:tblGrid>
        <w:gridCol w:w="1607"/>
        <w:gridCol w:w="1742"/>
        <w:gridCol w:w="5170"/>
      </w:tblGrid>
      <w:tr w14:paraId="4ABD722B">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double" w:color="auto" w:sz="2" w:space="0"/>
              <w:left w:val="double" w:color="auto" w:sz="2" w:space="0"/>
              <w:bottom w:val="single" w:color="auto" w:sz="6" w:space="0"/>
              <w:right w:val="single" w:color="auto" w:sz="6" w:space="0"/>
            </w:tcBorders>
            <w:vAlign w:val="center"/>
          </w:tcPr>
          <w:p w14:paraId="3360CE14">
            <w:pPr>
              <w:adjustRightInd w:val="0"/>
              <w:snapToGrid w:val="0"/>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第二节</w:t>
            </w:r>
          </w:p>
          <w:p w14:paraId="23CEB03B">
            <w:pPr>
              <w:adjustRightInd w:val="0"/>
              <w:snapToGrid w:val="0"/>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第1.2（6）项</w:t>
            </w:r>
          </w:p>
        </w:tc>
        <w:tc>
          <w:tcPr>
            <w:tcW w:w="1742" w:type="dxa"/>
            <w:tcBorders>
              <w:top w:val="double" w:color="auto" w:sz="2" w:space="0"/>
              <w:left w:val="single" w:color="auto" w:sz="6" w:space="0"/>
              <w:bottom w:val="single" w:color="auto" w:sz="6" w:space="0"/>
              <w:right w:val="single" w:color="auto" w:sz="6" w:space="0"/>
            </w:tcBorders>
            <w:vAlign w:val="center"/>
          </w:tcPr>
          <w:p w14:paraId="4B4B8E8A">
            <w:pPr>
              <w:adjustRightInd w:val="0"/>
              <w:snapToGrid w:val="0"/>
              <w:spacing w:line="360" w:lineRule="auto"/>
              <w:jc w:val="left"/>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联合体具体要求</w:t>
            </w:r>
          </w:p>
        </w:tc>
        <w:tc>
          <w:tcPr>
            <w:tcW w:w="5170" w:type="dxa"/>
            <w:tcBorders>
              <w:top w:val="double" w:color="auto" w:sz="2" w:space="0"/>
              <w:left w:val="single" w:color="auto" w:sz="6" w:space="0"/>
              <w:bottom w:val="single" w:color="auto" w:sz="6" w:space="0"/>
              <w:right w:val="double" w:color="auto" w:sz="2" w:space="0"/>
            </w:tcBorders>
            <w:vAlign w:val="center"/>
          </w:tcPr>
          <w:p w14:paraId="2CA82C6F">
            <w:pPr>
              <w:adjustRightInd w:val="0"/>
              <w:snapToGrid w:val="0"/>
              <w:spacing w:line="360" w:lineRule="auto"/>
              <w:jc w:val="left"/>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w:t>
            </w:r>
          </w:p>
        </w:tc>
      </w:tr>
      <w:tr w14:paraId="699A235F">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604" w:hRule="atLeast"/>
        </w:trPr>
        <w:tc>
          <w:tcPr>
            <w:tcW w:w="1607" w:type="dxa"/>
            <w:tcBorders>
              <w:top w:val="single" w:color="auto" w:sz="6" w:space="0"/>
              <w:left w:val="double" w:color="auto" w:sz="2" w:space="0"/>
              <w:bottom w:val="single" w:color="auto" w:sz="6" w:space="0"/>
              <w:right w:val="single" w:color="auto" w:sz="6" w:space="0"/>
            </w:tcBorders>
            <w:vAlign w:val="center"/>
          </w:tcPr>
          <w:p w14:paraId="60D1BF46">
            <w:pPr>
              <w:adjustRightInd w:val="0"/>
              <w:snapToGrid w:val="0"/>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第二节</w:t>
            </w:r>
          </w:p>
          <w:p w14:paraId="69A3D098">
            <w:pPr>
              <w:adjustRightInd w:val="0"/>
              <w:snapToGrid w:val="0"/>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第1.2（7）项</w:t>
            </w:r>
          </w:p>
        </w:tc>
        <w:tc>
          <w:tcPr>
            <w:tcW w:w="1742" w:type="dxa"/>
            <w:tcBorders>
              <w:top w:val="single" w:color="auto" w:sz="6" w:space="0"/>
              <w:left w:val="single" w:color="auto" w:sz="6" w:space="0"/>
              <w:bottom w:val="single" w:color="auto" w:sz="6" w:space="0"/>
              <w:right w:val="single" w:color="auto" w:sz="6" w:space="0"/>
            </w:tcBorders>
            <w:vAlign w:val="center"/>
          </w:tcPr>
          <w:p w14:paraId="4C865433">
            <w:pPr>
              <w:adjustRightInd w:val="0"/>
              <w:snapToGrid w:val="0"/>
              <w:spacing w:line="360" w:lineRule="auto"/>
              <w:jc w:val="left"/>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其他术语解释</w:t>
            </w:r>
          </w:p>
        </w:tc>
        <w:tc>
          <w:tcPr>
            <w:tcW w:w="5170" w:type="dxa"/>
            <w:tcBorders>
              <w:top w:val="single" w:color="auto" w:sz="6" w:space="0"/>
              <w:left w:val="single" w:color="auto" w:sz="6" w:space="0"/>
              <w:bottom w:val="single" w:color="auto" w:sz="6" w:space="0"/>
              <w:right w:val="double" w:color="auto" w:sz="2" w:space="0"/>
            </w:tcBorders>
            <w:vAlign w:val="center"/>
          </w:tcPr>
          <w:p w14:paraId="58590177">
            <w:pPr>
              <w:adjustRightInd w:val="0"/>
              <w:snapToGrid w:val="0"/>
              <w:spacing w:line="360" w:lineRule="auto"/>
              <w:jc w:val="left"/>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无</w:t>
            </w:r>
          </w:p>
        </w:tc>
      </w:tr>
      <w:tr w14:paraId="7C4DA192">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2" w:space="0"/>
              <w:bottom w:val="single" w:color="auto" w:sz="6" w:space="0"/>
              <w:right w:val="single" w:color="auto" w:sz="6" w:space="0"/>
            </w:tcBorders>
            <w:vAlign w:val="center"/>
          </w:tcPr>
          <w:p w14:paraId="594BD7FD">
            <w:pPr>
              <w:adjustRightInd w:val="0"/>
              <w:snapToGrid w:val="0"/>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第二节</w:t>
            </w:r>
          </w:p>
          <w:p w14:paraId="4DA9F501">
            <w:pPr>
              <w:adjustRightInd w:val="0"/>
              <w:snapToGrid w:val="0"/>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第4.4款</w:t>
            </w:r>
          </w:p>
        </w:tc>
        <w:tc>
          <w:tcPr>
            <w:tcW w:w="1742" w:type="dxa"/>
            <w:tcBorders>
              <w:top w:val="single" w:color="auto" w:sz="6" w:space="0"/>
              <w:left w:val="single" w:color="auto" w:sz="6" w:space="0"/>
              <w:bottom w:val="single" w:color="auto" w:sz="6" w:space="0"/>
              <w:right w:val="single" w:color="auto" w:sz="6" w:space="0"/>
            </w:tcBorders>
            <w:vAlign w:val="center"/>
          </w:tcPr>
          <w:p w14:paraId="0C28F704">
            <w:pPr>
              <w:adjustRightInd w:val="0"/>
              <w:snapToGrid w:val="0"/>
              <w:spacing w:line="360" w:lineRule="auto"/>
              <w:jc w:val="left"/>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履约验收中甲方提出异议或作出说明的期限</w:t>
            </w:r>
          </w:p>
        </w:tc>
        <w:tc>
          <w:tcPr>
            <w:tcW w:w="5170" w:type="dxa"/>
            <w:tcBorders>
              <w:top w:val="single" w:color="auto" w:sz="6" w:space="0"/>
              <w:left w:val="single" w:color="auto" w:sz="6" w:space="0"/>
              <w:bottom w:val="single" w:color="auto" w:sz="6" w:space="0"/>
              <w:right w:val="double" w:color="auto" w:sz="2" w:space="0"/>
            </w:tcBorders>
            <w:vAlign w:val="center"/>
          </w:tcPr>
          <w:p w14:paraId="1A990B27">
            <w:pPr>
              <w:adjustRightInd w:val="0"/>
              <w:snapToGrid w:val="0"/>
              <w:spacing w:line="360" w:lineRule="auto"/>
              <w:jc w:val="left"/>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甲方应当按照合同约定及时对交付的货物进行验收，未在【政府采购合同专用条款】约定的期限内对乙方履约提出任何异议或者向乙方作出任何说明的，视为验收通过。</w:t>
            </w:r>
          </w:p>
        </w:tc>
      </w:tr>
      <w:tr w14:paraId="0E587522">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2" w:space="0"/>
              <w:bottom w:val="single" w:color="auto" w:sz="6" w:space="0"/>
              <w:right w:val="single" w:color="auto" w:sz="6" w:space="0"/>
            </w:tcBorders>
            <w:vAlign w:val="center"/>
          </w:tcPr>
          <w:p w14:paraId="493C460A">
            <w:pPr>
              <w:adjustRightInd w:val="0"/>
              <w:snapToGrid w:val="0"/>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第二节</w:t>
            </w:r>
          </w:p>
          <w:p w14:paraId="2857CBF8">
            <w:pPr>
              <w:adjustRightInd w:val="0"/>
              <w:snapToGrid w:val="0"/>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第4.6款</w:t>
            </w:r>
          </w:p>
        </w:tc>
        <w:tc>
          <w:tcPr>
            <w:tcW w:w="1742" w:type="dxa"/>
            <w:tcBorders>
              <w:top w:val="single" w:color="auto" w:sz="6" w:space="0"/>
              <w:left w:val="single" w:color="auto" w:sz="6" w:space="0"/>
              <w:bottom w:val="single" w:color="auto" w:sz="6" w:space="0"/>
              <w:right w:val="single" w:color="auto" w:sz="6" w:space="0"/>
            </w:tcBorders>
            <w:vAlign w:val="center"/>
          </w:tcPr>
          <w:p w14:paraId="4B38B6DE">
            <w:pPr>
              <w:adjustRightInd w:val="0"/>
              <w:snapToGrid w:val="0"/>
              <w:spacing w:line="360" w:lineRule="auto"/>
              <w:jc w:val="left"/>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约定甲方承担的其他义务和责任</w:t>
            </w:r>
          </w:p>
        </w:tc>
        <w:tc>
          <w:tcPr>
            <w:tcW w:w="5170" w:type="dxa"/>
            <w:tcBorders>
              <w:top w:val="single" w:color="auto" w:sz="6" w:space="0"/>
              <w:left w:val="single" w:color="auto" w:sz="6" w:space="0"/>
              <w:bottom w:val="single" w:color="auto" w:sz="6" w:space="0"/>
              <w:right w:val="double" w:color="auto" w:sz="2" w:space="0"/>
            </w:tcBorders>
            <w:vAlign w:val="center"/>
          </w:tcPr>
          <w:p w14:paraId="59CC5151">
            <w:pPr>
              <w:adjustRightInd w:val="0"/>
              <w:snapToGrid w:val="0"/>
              <w:spacing w:line="360" w:lineRule="auto"/>
              <w:jc w:val="left"/>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国家法律法规规定及【政府采购合同专用条款】约定应由甲方承担的其他义务和责任。</w:t>
            </w:r>
          </w:p>
        </w:tc>
      </w:tr>
      <w:tr w14:paraId="6FF3DF0B">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2" w:space="0"/>
              <w:bottom w:val="single" w:color="auto" w:sz="6" w:space="0"/>
              <w:right w:val="single" w:color="auto" w:sz="6" w:space="0"/>
            </w:tcBorders>
            <w:vAlign w:val="center"/>
          </w:tcPr>
          <w:p w14:paraId="7292519F">
            <w:pPr>
              <w:adjustRightInd w:val="0"/>
              <w:snapToGrid w:val="0"/>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第二节</w:t>
            </w:r>
          </w:p>
          <w:p w14:paraId="72522A68">
            <w:pPr>
              <w:snapToGrid w:val="0"/>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第5.4款</w:t>
            </w:r>
          </w:p>
        </w:tc>
        <w:tc>
          <w:tcPr>
            <w:tcW w:w="1742" w:type="dxa"/>
            <w:tcBorders>
              <w:top w:val="single" w:color="auto" w:sz="6" w:space="0"/>
              <w:left w:val="single" w:color="auto" w:sz="6" w:space="0"/>
              <w:bottom w:val="single" w:color="auto" w:sz="6" w:space="0"/>
              <w:right w:val="single" w:color="auto" w:sz="6" w:space="0"/>
            </w:tcBorders>
            <w:vAlign w:val="center"/>
          </w:tcPr>
          <w:p w14:paraId="5531DC7A">
            <w:pPr>
              <w:adjustRightInd w:val="0"/>
              <w:snapToGrid w:val="0"/>
              <w:spacing w:line="360" w:lineRule="auto"/>
              <w:jc w:val="left"/>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约定乙方承担的其他义务和责任</w:t>
            </w:r>
          </w:p>
        </w:tc>
        <w:tc>
          <w:tcPr>
            <w:tcW w:w="5170" w:type="dxa"/>
            <w:tcBorders>
              <w:top w:val="single" w:color="auto" w:sz="6" w:space="0"/>
              <w:left w:val="single" w:color="auto" w:sz="6" w:space="0"/>
              <w:bottom w:val="single" w:color="auto" w:sz="6" w:space="0"/>
              <w:right w:val="double" w:color="auto" w:sz="2" w:space="0"/>
            </w:tcBorders>
            <w:vAlign w:val="center"/>
          </w:tcPr>
          <w:p w14:paraId="74E42888">
            <w:pPr>
              <w:adjustRightInd w:val="0"/>
              <w:snapToGrid w:val="0"/>
              <w:spacing w:line="360" w:lineRule="auto"/>
              <w:jc w:val="left"/>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国家法律法规规定及【政府采购合同专用条款】约定应由甲方承担的其他义务和责任。</w:t>
            </w:r>
          </w:p>
        </w:tc>
      </w:tr>
      <w:tr w14:paraId="2443599A">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2" w:space="0"/>
              <w:bottom w:val="single" w:color="auto" w:sz="6" w:space="0"/>
              <w:right w:val="single" w:color="auto" w:sz="6" w:space="0"/>
            </w:tcBorders>
            <w:vAlign w:val="center"/>
          </w:tcPr>
          <w:p w14:paraId="79C089BA">
            <w:pPr>
              <w:adjustRightInd w:val="0"/>
              <w:snapToGrid w:val="0"/>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第二节</w:t>
            </w:r>
          </w:p>
          <w:p w14:paraId="6A709197">
            <w:pPr>
              <w:snapToGrid w:val="0"/>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第6.1款</w:t>
            </w:r>
          </w:p>
        </w:tc>
        <w:tc>
          <w:tcPr>
            <w:tcW w:w="1742" w:type="dxa"/>
            <w:tcBorders>
              <w:top w:val="single" w:color="auto" w:sz="6" w:space="0"/>
              <w:left w:val="single" w:color="auto" w:sz="6" w:space="0"/>
              <w:bottom w:val="single" w:color="auto" w:sz="6" w:space="0"/>
              <w:right w:val="single" w:color="auto" w:sz="6" w:space="0"/>
            </w:tcBorders>
            <w:vAlign w:val="center"/>
          </w:tcPr>
          <w:p w14:paraId="7B8E32C8">
            <w:pPr>
              <w:adjustRightInd w:val="0"/>
              <w:snapToGrid w:val="0"/>
              <w:spacing w:line="360" w:lineRule="auto"/>
              <w:jc w:val="left"/>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履行合同义务的顺序</w:t>
            </w:r>
          </w:p>
        </w:tc>
        <w:tc>
          <w:tcPr>
            <w:tcW w:w="5170" w:type="dxa"/>
            <w:tcBorders>
              <w:top w:val="single" w:color="auto" w:sz="6" w:space="0"/>
              <w:left w:val="single" w:color="auto" w:sz="6" w:space="0"/>
              <w:bottom w:val="single" w:color="auto" w:sz="6" w:space="0"/>
              <w:right w:val="double" w:color="auto" w:sz="2" w:space="0"/>
            </w:tcBorders>
            <w:vAlign w:val="center"/>
          </w:tcPr>
          <w:p w14:paraId="193F1633">
            <w:pPr>
              <w:adjustRightInd w:val="0"/>
              <w:snapToGrid w:val="0"/>
              <w:spacing w:line="360" w:lineRule="auto"/>
              <w:jc w:val="left"/>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同时履行</w:t>
            </w:r>
          </w:p>
        </w:tc>
      </w:tr>
      <w:tr w14:paraId="2BB5DB71">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607" w:type="dxa"/>
            <w:vMerge w:val="restart"/>
            <w:tcBorders>
              <w:top w:val="single" w:color="auto" w:sz="6" w:space="0"/>
              <w:left w:val="double" w:color="auto" w:sz="2" w:space="0"/>
              <w:bottom w:val="single" w:color="auto" w:sz="6" w:space="0"/>
              <w:right w:val="single" w:color="auto" w:sz="6" w:space="0"/>
            </w:tcBorders>
            <w:vAlign w:val="center"/>
          </w:tcPr>
          <w:p w14:paraId="46D12FD4">
            <w:pPr>
              <w:adjustRightInd w:val="0"/>
              <w:snapToGrid w:val="0"/>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第二节</w:t>
            </w:r>
          </w:p>
          <w:p w14:paraId="6224AB69">
            <w:pPr>
              <w:adjustRightInd w:val="0"/>
              <w:snapToGrid w:val="0"/>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第7.1款</w:t>
            </w:r>
          </w:p>
        </w:tc>
        <w:tc>
          <w:tcPr>
            <w:tcW w:w="1742" w:type="dxa"/>
            <w:tcBorders>
              <w:top w:val="single" w:color="auto" w:sz="6" w:space="0"/>
              <w:left w:val="single" w:color="auto" w:sz="6" w:space="0"/>
              <w:bottom w:val="single" w:color="auto" w:sz="6" w:space="0"/>
              <w:right w:val="single" w:color="auto" w:sz="6" w:space="0"/>
            </w:tcBorders>
            <w:vAlign w:val="center"/>
          </w:tcPr>
          <w:p w14:paraId="33D0BB5B">
            <w:pPr>
              <w:adjustRightInd w:val="0"/>
              <w:snapToGrid w:val="0"/>
              <w:spacing w:line="360" w:lineRule="auto"/>
              <w:jc w:val="left"/>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包装特殊要求</w:t>
            </w:r>
          </w:p>
        </w:tc>
        <w:tc>
          <w:tcPr>
            <w:tcW w:w="5170" w:type="dxa"/>
            <w:tcBorders>
              <w:top w:val="single" w:color="auto" w:sz="6" w:space="0"/>
              <w:left w:val="single" w:color="auto" w:sz="6" w:space="0"/>
              <w:bottom w:val="single" w:color="auto" w:sz="6" w:space="0"/>
              <w:right w:val="double" w:color="auto" w:sz="2" w:space="0"/>
            </w:tcBorders>
            <w:vAlign w:val="center"/>
          </w:tcPr>
          <w:p w14:paraId="69B04E39">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包装应适应远距离运输、防潮、防震、防锈和防野蛮装第二节卸等要求，确保货物安全无损地运抵指定现场。</w:t>
            </w:r>
          </w:p>
        </w:tc>
      </w:tr>
      <w:tr w14:paraId="031141FD">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607" w:type="dxa"/>
            <w:vMerge w:val="continue"/>
            <w:tcBorders>
              <w:top w:val="single" w:color="auto" w:sz="6" w:space="0"/>
              <w:left w:val="double" w:color="auto" w:sz="2" w:space="0"/>
              <w:bottom w:val="single" w:color="auto" w:sz="6" w:space="0"/>
              <w:right w:val="single" w:color="auto" w:sz="6" w:space="0"/>
            </w:tcBorders>
            <w:vAlign w:val="center"/>
          </w:tcPr>
          <w:p w14:paraId="7AB045C1">
            <w:pPr>
              <w:widowControl/>
              <w:jc w:val="left"/>
              <w:rPr>
                <w:rFonts w:hint="eastAsia" w:ascii="宋体" w:hAnsi="宋体" w:eastAsia="宋体" w:cs="Times New Roman"/>
                <w:color w:val="auto"/>
                <w:sz w:val="24"/>
                <w:szCs w:val="24"/>
                <w:highlight w:val="none"/>
              </w:rPr>
            </w:pPr>
          </w:p>
        </w:tc>
        <w:tc>
          <w:tcPr>
            <w:tcW w:w="1742" w:type="dxa"/>
            <w:tcBorders>
              <w:top w:val="single" w:color="auto" w:sz="6" w:space="0"/>
              <w:left w:val="single" w:color="auto" w:sz="6" w:space="0"/>
              <w:bottom w:val="single" w:color="auto" w:sz="6" w:space="0"/>
              <w:right w:val="single" w:color="auto" w:sz="6" w:space="0"/>
            </w:tcBorders>
            <w:vAlign w:val="center"/>
          </w:tcPr>
          <w:p w14:paraId="5770F6CC">
            <w:pPr>
              <w:adjustRightInd w:val="0"/>
              <w:snapToGrid w:val="0"/>
              <w:spacing w:line="360" w:lineRule="auto"/>
              <w:jc w:val="left"/>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指定现场</w:t>
            </w:r>
          </w:p>
        </w:tc>
        <w:tc>
          <w:tcPr>
            <w:tcW w:w="5170" w:type="dxa"/>
            <w:tcBorders>
              <w:top w:val="single" w:color="auto" w:sz="6" w:space="0"/>
              <w:left w:val="single" w:color="auto" w:sz="6" w:space="0"/>
              <w:bottom w:val="single" w:color="auto" w:sz="6" w:space="0"/>
              <w:right w:val="double" w:color="auto" w:sz="2" w:space="0"/>
            </w:tcBorders>
            <w:vAlign w:val="center"/>
          </w:tcPr>
          <w:p w14:paraId="23B8C95A">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采购人指定现场。</w:t>
            </w:r>
          </w:p>
        </w:tc>
      </w:tr>
      <w:tr w14:paraId="41FE2C40">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772" w:hRule="atLeast"/>
        </w:trPr>
        <w:tc>
          <w:tcPr>
            <w:tcW w:w="1607" w:type="dxa"/>
            <w:tcBorders>
              <w:top w:val="single" w:color="auto" w:sz="6" w:space="0"/>
              <w:left w:val="double" w:color="auto" w:sz="2" w:space="0"/>
              <w:bottom w:val="single" w:color="auto" w:sz="6" w:space="0"/>
              <w:right w:val="single" w:color="auto" w:sz="6" w:space="0"/>
            </w:tcBorders>
            <w:vAlign w:val="center"/>
          </w:tcPr>
          <w:p w14:paraId="481D348B">
            <w:pPr>
              <w:adjustRightInd w:val="0"/>
              <w:snapToGrid w:val="0"/>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第二节</w:t>
            </w:r>
          </w:p>
          <w:p w14:paraId="237583BA">
            <w:pPr>
              <w:adjustRightInd w:val="0"/>
              <w:snapToGrid w:val="0"/>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第7.2款</w:t>
            </w:r>
          </w:p>
        </w:tc>
        <w:tc>
          <w:tcPr>
            <w:tcW w:w="1742" w:type="dxa"/>
            <w:tcBorders>
              <w:top w:val="single" w:color="auto" w:sz="6" w:space="0"/>
              <w:left w:val="single" w:color="auto" w:sz="6" w:space="0"/>
              <w:bottom w:val="single" w:color="auto" w:sz="6" w:space="0"/>
              <w:right w:val="single" w:color="auto" w:sz="6" w:space="0"/>
            </w:tcBorders>
            <w:vAlign w:val="center"/>
          </w:tcPr>
          <w:p w14:paraId="6E4B4F22">
            <w:pPr>
              <w:adjustRightInd w:val="0"/>
              <w:snapToGrid w:val="0"/>
              <w:spacing w:line="360" w:lineRule="auto"/>
              <w:jc w:val="left"/>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运输特殊要求</w:t>
            </w:r>
          </w:p>
        </w:tc>
        <w:tc>
          <w:tcPr>
            <w:tcW w:w="5170" w:type="dxa"/>
            <w:tcBorders>
              <w:top w:val="single" w:color="auto" w:sz="6" w:space="0"/>
              <w:left w:val="single" w:color="auto" w:sz="6" w:space="0"/>
              <w:bottom w:val="single" w:color="auto" w:sz="6" w:space="0"/>
              <w:right w:val="double" w:color="auto" w:sz="2" w:space="0"/>
            </w:tcBorders>
            <w:vAlign w:val="center"/>
          </w:tcPr>
          <w:p w14:paraId="5A27C003">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Cs w:val="21"/>
                <w:highlight w:val="none"/>
              </w:rPr>
              <w:t>无</w:t>
            </w:r>
          </w:p>
        </w:tc>
      </w:tr>
      <w:tr w14:paraId="75C9F43B">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607" w:type="dxa"/>
            <w:tcBorders>
              <w:top w:val="single" w:color="auto" w:sz="6" w:space="0"/>
              <w:left w:val="double" w:color="auto" w:sz="2" w:space="0"/>
              <w:bottom w:val="single" w:color="auto" w:sz="6" w:space="0"/>
              <w:right w:val="single" w:color="auto" w:sz="6" w:space="0"/>
            </w:tcBorders>
            <w:vAlign w:val="center"/>
          </w:tcPr>
          <w:p w14:paraId="4EF46213">
            <w:pPr>
              <w:adjustRightInd w:val="0"/>
              <w:snapToGrid w:val="0"/>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第二节</w:t>
            </w:r>
          </w:p>
          <w:p w14:paraId="1063500B">
            <w:pPr>
              <w:adjustRightInd w:val="0"/>
              <w:snapToGrid w:val="0"/>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第7.3款</w:t>
            </w:r>
          </w:p>
        </w:tc>
        <w:tc>
          <w:tcPr>
            <w:tcW w:w="1742" w:type="dxa"/>
            <w:tcBorders>
              <w:top w:val="single" w:color="auto" w:sz="6" w:space="0"/>
              <w:left w:val="single" w:color="auto" w:sz="6" w:space="0"/>
              <w:bottom w:val="single" w:color="auto" w:sz="6" w:space="0"/>
              <w:right w:val="single" w:color="auto" w:sz="6" w:space="0"/>
            </w:tcBorders>
            <w:vAlign w:val="center"/>
          </w:tcPr>
          <w:p w14:paraId="4D026101">
            <w:pPr>
              <w:adjustRightInd w:val="0"/>
              <w:snapToGrid w:val="0"/>
              <w:spacing w:line="360" w:lineRule="auto"/>
              <w:jc w:val="left"/>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保险要求</w:t>
            </w:r>
          </w:p>
        </w:tc>
        <w:tc>
          <w:tcPr>
            <w:tcW w:w="5170" w:type="dxa"/>
            <w:tcBorders>
              <w:top w:val="single" w:color="auto" w:sz="6" w:space="0"/>
              <w:left w:val="single" w:color="auto" w:sz="6" w:space="0"/>
              <w:bottom w:val="single" w:color="auto" w:sz="6" w:space="0"/>
              <w:right w:val="double" w:color="auto" w:sz="2" w:space="0"/>
            </w:tcBorders>
            <w:vAlign w:val="center"/>
          </w:tcPr>
          <w:p w14:paraId="6F50473D">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Cs w:val="21"/>
                <w:highlight w:val="none"/>
              </w:rPr>
              <w:t>无</w:t>
            </w:r>
          </w:p>
        </w:tc>
      </w:tr>
      <w:tr w14:paraId="68902739">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2" w:space="0"/>
              <w:bottom w:val="single" w:color="auto" w:sz="6" w:space="0"/>
              <w:right w:val="single" w:color="auto" w:sz="6" w:space="0"/>
            </w:tcBorders>
            <w:vAlign w:val="center"/>
          </w:tcPr>
          <w:p w14:paraId="5FAB6C0D">
            <w:pPr>
              <w:adjustRightInd w:val="0"/>
              <w:snapToGrid w:val="0"/>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第二节</w:t>
            </w:r>
          </w:p>
          <w:p w14:paraId="4E5D08DC">
            <w:pPr>
              <w:adjustRightInd w:val="0"/>
              <w:snapToGrid w:val="0"/>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第8.2（1）项</w:t>
            </w:r>
          </w:p>
        </w:tc>
        <w:tc>
          <w:tcPr>
            <w:tcW w:w="1742" w:type="dxa"/>
            <w:tcBorders>
              <w:top w:val="single" w:color="auto" w:sz="6" w:space="0"/>
              <w:left w:val="single" w:color="auto" w:sz="6" w:space="0"/>
              <w:bottom w:val="single" w:color="auto" w:sz="6" w:space="0"/>
              <w:right w:val="single" w:color="auto" w:sz="6" w:space="0"/>
            </w:tcBorders>
            <w:vAlign w:val="center"/>
          </w:tcPr>
          <w:p w14:paraId="6229CD77">
            <w:pPr>
              <w:adjustRightInd w:val="0"/>
              <w:snapToGrid w:val="0"/>
              <w:spacing w:line="360" w:lineRule="auto"/>
              <w:jc w:val="left"/>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质量保证期</w:t>
            </w:r>
          </w:p>
        </w:tc>
        <w:tc>
          <w:tcPr>
            <w:tcW w:w="5170" w:type="dxa"/>
            <w:tcBorders>
              <w:top w:val="single" w:color="auto" w:sz="6" w:space="0"/>
              <w:left w:val="single" w:color="auto" w:sz="6" w:space="0"/>
              <w:bottom w:val="single" w:color="auto" w:sz="6" w:space="0"/>
              <w:right w:val="double" w:color="auto" w:sz="2" w:space="0"/>
            </w:tcBorders>
            <w:vAlign w:val="center"/>
          </w:tcPr>
          <w:p w14:paraId="78BC3D7F">
            <w:pPr>
              <w:autoSpaceDE w:val="0"/>
              <w:autoSpaceDN w:val="0"/>
              <w:adjustRightInd w:val="0"/>
              <w:snapToGrid w:val="0"/>
              <w:spacing w:line="360" w:lineRule="auto"/>
              <w:jc w:val="left"/>
              <w:rPr>
                <w:rFonts w:hint="eastAsia" w:ascii="宋体" w:hAnsi="宋体" w:eastAsia="宋体" w:cs="Times New Roman"/>
                <w:color w:val="auto"/>
                <w:sz w:val="24"/>
                <w:szCs w:val="24"/>
                <w:highlight w:val="none"/>
              </w:rPr>
            </w:pPr>
          </w:p>
        </w:tc>
      </w:tr>
      <w:tr w14:paraId="1ED8D54D">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2" w:space="0"/>
              <w:bottom w:val="single" w:color="auto" w:sz="6" w:space="0"/>
              <w:right w:val="single" w:color="auto" w:sz="6" w:space="0"/>
            </w:tcBorders>
            <w:vAlign w:val="center"/>
          </w:tcPr>
          <w:p w14:paraId="7D3D99BC">
            <w:pPr>
              <w:adjustRightInd w:val="0"/>
              <w:snapToGrid w:val="0"/>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第二节</w:t>
            </w:r>
          </w:p>
          <w:p w14:paraId="3F3FADF1">
            <w:pPr>
              <w:adjustRightInd w:val="0"/>
              <w:snapToGrid w:val="0"/>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第8.2（3）项</w:t>
            </w:r>
          </w:p>
        </w:tc>
        <w:tc>
          <w:tcPr>
            <w:tcW w:w="1742" w:type="dxa"/>
            <w:tcBorders>
              <w:top w:val="single" w:color="auto" w:sz="6" w:space="0"/>
              <w:left w:val="single" w:color="auto" w:sz="6" w:space="0"/>
              <w:bottom w:val="single" w:color="auto" w:sz="6" w:space="0"/>
              <w:right w:val="single" w:color="auto" w:sz="6" w:space="0"/>
            </w:tcBorders>
            <w:vAlign w:val="center"/>
          </w:tcPr>
          <w:p w14:paraId="0900DF14">
            <w:pPr>
              <w:adjustRightInd w:val="0"/>
              <w:snapToGrid w:val="0"/>
              <w:spacing w:line="360" w:lineRule="auto"/>
              <w:jc w:val="left"/>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货物质量缺陷</w:t>
            </w:r>
          </w:p>
          <w:p w14:paraId="017AC4A8">
            <w:pPr>
              <w:adjustRightInd w:val="0"/>
              <w:snapToGrid w:val="0"/>
              <w:spacing w:line="360" w:lineRule="auto"/>
              <w:jc w:val="left"/>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响应时间</w:t>
            </w:r>
          </w:p>
        </w:tc>
        <w:tc>
          <w:tcPr>
            <w:tcW w:w="5170" w:type="dxa"/>
            <w:tcBorders>
              <w:top w:val="single" w:color="auto" w:sz="6" w:space="0"/>
              <w:left w:val="single" w:color="auto" w:sz="6" w:space="0"/>
              <w:bottom w:val="single" w:color="auto" w:sz="6" w:space="0"/>
              <w:right w:val="double" w:color="auto" w:sz="2" w:space="0"/>
            </w:tcBorders>
            <w:vAlign w:val="center"/>
          </w:tcPr>
          <w:p w14:paraId="5DD711F5">
            <w:pPr>
              <w:adjustRightInd w:val="0"/>
              <w:snapToGrid w:val="0"/>
              <w:spacing w:line="360" w:lineRule="auto"/>
              <w:jc w:val="left"/>
              <w:rPr>
                <w:rFonts w:hint="eastAsia" w:ascii="宋体" w:hAnsi="宋体" w:eastAsia="宋体" w:cs="Times New Roman"/>
                <w:color w:val="auto"/>
                <w:sz w:val="24"/>
                <w:szCs w:val="24"/>
                <w:highlight w:val="none"/>
              </w:rPr>
            </w:pPr>
          </w:p>
        </w:tc>
      </w:tr>
      <w:tr w14:paraId="61AD4509">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2" w:space="0"/>
              <w:bottom w:val="single" w:color="auto" w:sz="6" w:space="0"/>
              <w:right w:val="single" w:color="auto" w:sz="6" w:space="0"/>
            </w:tcBorders>
            <w:vAlign w:val="center"/>
          </w:tcPr>
          <w:p w14:paraId="7F7B9C1F">
            <w:pPr>
              <w:snapToGrid w:val="0"/>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第二节</w:t>
            </w:r>
          </w:p>
          <w:p w14:paraId="44215775">
            <w:pPr>
              <w:widowControl/>
              <w:autoSpaceDE w:val="0"/>
              <w:autoSpaceDN w:val="0"/>
              <w:adjustRightInd w:val="0"/>
              <w:spacing w:line="360" w:lineRule="auto"/>
              <w:jc w:val="center"/>
              <w:rPr>
                <w:rFonts w:hint="eastAsia"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第11.1款</w:t>
            </w:r>
          </w:p>
        </w:tc>
        <w:tc>
          <w:tcPr>
            <w:tcW w:w="1742" w:type="dxa"/>
            <w:tcBorders>
              <w:top w:val="single" w:color="auto" w:sz="6" w:space="0"/>
              <w:left w:val="single" w:color="auto" w:sz="6" w:space="0"/>
              <w:bottom w:val="single" w:color="auto" w:sz="6" w:space="0"/>
              <w:right w:val="single" w:color="auto" w:sz="6" w:space="0"/>
            </w:tcBorders>
            <w:vAlign w:val="center"/>
          </w:tcPr>
          <w:p w14:paraId="4E2509A1">
            <w:pPr>
              <w:adjustRightInd w:val="0"/>
              <w:snapToGrid w:val="0"/>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其他应当保密的信息</w:t>
            </w:r>
          </w:p>
        </w:tc>
        <w:tc>
          <w:tcPr>
            <w:tcW w:w="5170" w:type="dxa"/>
            <w:tcBorders>
              <w:top w:val="single" w:color="auto" w:sz="6" w:space="0"/>
              <w:left w:val="single" w:color="auto" w:sz="6" w:space="0"/>
              <w:bottom w:val="single" w:color="auto" w:sz="6" w:space="0"/>
              <w:right w:val="double" w:color="auto" w:sz="2" w:space="0"/>
            </w:tcBorders>
            <w:vAlign w:val="center"/>
          </w:tcPr>
          <w:p w14:paraId="7DEF556D">
            <w:pPr>
              <w:adjustRightInd w:val="0"/>
              <w:snapToGrid w:val="0"/>
              <w:spacing w:line="360" w:lineRule="auto"/>
              <w:jc w:val="left"/>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无</w:t>
            </w:r>
          </w:p>
        </w:tc>
      </w:tr>
      <w:tr w14:paraId="0DD2BC63">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697" w:hRule="atLeast"/>
        </w:trPr>
        <w:tc>
          <w:tcPr>
            <w:tcW w:w="1607" w:type="dxa"/>
            <w:tcBorders>
              <w:top w:val="single" w:color="auto" w:sz="6" w:space="0"/>
              <w:left w:val="double" w:color="auto" w:sz="2" w:space="0"/>
              <w:bottom w:val="single" w:color="auto" w:sz="6" w:space="0"/>
              <w:right w:val="single" w:color="auto" w:sz="6" w:space="0"/>
            </w:tcBorders>
            <w:vAlign w:val="center"/>
          </w:tcPr>
          <w:p w14:paraId="4F3E4FA6">
            <w:pPr>
              <w:adjustRightInd w:val="0"/>
              <w:snapToGrid w:val="0"/>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第二节</w:t>
            </w:r>
          </w:p>
          <w:p w14:paraId="248263EE">
            <w:pPr>
              <w:adjustRightInd w:val="0"/>
              <w:snapToGrid w:val="0"/>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第12.2款</w:t>
            </w:r>
          </w:p>
        </w:tc>
        <w:tc>
          <w:tcPr>
            <w:tcW w:w="1742" w:type="dxa"/>
            <w:tcBorders>
              <w:top w:val="single" w:color="auto" w:sz="6" w:space="0"/>
              <w:left w:val="single" w:color="auto" w:sz="6" w:space="0"/>
              <w:bottom w:val="single" w:color="auto" w:sz="6" w:space="0"/>
              <w:right w:val="single" w:color="auto" w:sz="6" w:space="0"/>
            </w:tcBorders>
            <w:vAlign w:val="center"/>
          </w:tcPr>
          <w:p w14:paraId="39406605">
            <w:pPr>
              <w:adjustRightInd w:val="0"/>
              <w:snapToGrid w:val="0"/>
              <w:spacing w:line="360" w:lineRule="auto"/>
              <w:jc w:val="left"/>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合同价款支付时间</w:t>
            </w:r>
          </w:p>
        </w:tc>
        <w:tc>
          <w:tcPr>
            <w:tcW w:w="5170" w:type="dxa"/>
            <w:tcBorders>
              <w:top w:val="single" w:color="auto" w:sz="6" w:space="0"/>
              <w:left w:val="single" w:color="auto" w:sz="6" w:space="0"/>
              <w:bottom w:val="single" w:color="auto" w:sz="6" w:space="0"/>
              <w:right w:val="double" w:color="auto" w:sz="2" w:space="0"/>
            </w:tcBorders>
            <w:vAlign w:val="center"/>
          </w:tcPr>
          <w:p w14:paraId="7696AF5F">
            <w:pPr>
              <w:adjustRightInd w:val="0"/>
              <w:snapToGrid w:val="0"/>
              <w:spacing w:line="360" w:lineRule="auto"/>
              <w:jc w:val="left"/>
              <w:rPr>
                <w:rFonts w:ascii="Times New Roman" w:hAnsi="Times New Roman" w:eastAsia="宋体" w:cs="Times New Roman"/>
                <w:color w:val="auto"/>
                <w:szCs w:val="21"/>
                <w:highlight w:val="none"/>
              </w:rPr>
            </w:pPr>
            <w:r>
              <w:rPr>
                <w:rFonts w:hint="eastAsia" w:ascii="宋体" w:hAnsi="宋体" w:eastAsia="宋体" w:cs="Times New Roman"/>
                <w:color w:val="auto"/>
                <w:sz w:val="24"/>
                <w:szCs w:val="24"/>
                <w:highlight w:val="none"/>
              </w:rPr>
              <w:t>详见 第三章 采购需求</w:t>
            </w:r>
          </w:p>
        </w:tc>
      </w:tr>
      <w:tr w14:paraId="2F040EEE">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697" w:hRule="atLeast"/>
        </w:trPr>
        <w:tc>
          <w:tcPr>
            <w:tcW w:w="1607" w:type="dxa"/>
            <w:tcBorders>
              <w:top w:val="single" w:color="auto" w:sz="6" w:space="0"/>
              <w:left w:val="double" w:color="auto" w:sz="2" w:space="0"/>
              <w:bottom w:val="single" w:color="auto" w:sz="6" w:space="0"/>
              <w:right w:val="single" w:color="auto" w:sz="6" w:space="0"/>
            </w:tcBorders>
            <w:vAlign w:val="center"/>
          </w:tcPr>
          <w:p w14:paraId="6891D297">
            <w:pPr>
              <w:adjustRightInd w:val="0"/>
              <w:snapToGrid w:val="0"/>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第二节</w:t>
            </w:r>
          </w:p>
          <w:p w14:paraId="3D48E6A3">
            <w:pPr>
              <w:adjustRightInd w:val="0"/>
              <w:snapToGrid w:val="0"/>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第13.2款</w:t>
            </w:r>
          </w:p>
        </w:tc>
        <w:tc>
          <w:tcPr>
            <w:tcW w:w="1742" w:type="dxa"/>
            <w:tcBorders>
              <w:top w:val="single" w:color="auto" w:sz="6" w:space="0"/>
              <w:left w:val="single" w:color="auto" w:sz="6" w:space="0"/>
              <w:bottom w:val="single" w:color="auto" w:sz="6" w:space="0"/>
              <w:right w:val="single" w:color="auto" w:sz="6" w:space="0"/>
            </w:tcBorders>
            <w:vAlign w:val="center"/>
          </w:tcPr>
          <w:p w14:paraId="30C4D7C1">
            <w:pPr>
              <w:adjustRightInd w:val="0"/>
              <w:snapToGrid w:val="0"/>
              <w:spacing w:line="360" w:lineRule="auto"/>
              <w:jc w:val="left"/>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履约保证金不予退还的情形</w:t>
            </w:r>
          </w:p>
        </w:tc>
        <w:tc>
          <w:tcPr>
            <w:tcW w:w="5170" w:type="dxa"/>
            <w:tcBorders>
              <w:top w:val="single" w:color="auto" w:sz="6" w:space="0"/>
              <w:left w:val="single" w:color="auto" w:sz="6" w:space="0"/>
              <w:bottom w:val="single" w:color="auto" w:sz="6" w:space="0"/>
              <w:right w:val="double" w:color="auto" w:sz="2" w:space="0"/>
            </w:tcBorders>
            <w:vAlign w:val="center"/>
          </w:tcPr>
          <w:p w14:paraId="0A95C71B">
            <w:pPr>
              <w:adjustRightInd w:val="0"/>
              <w:snapToGrid w:val="0"/>
              <w:spacing w:line="360" w:lineRule="auto"/>
              <w:jc w:val="left"/>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履约保证金作为乙方履行本合同义务的保证，如果乙方不履行合同，履约保证金不予退还；如乙方不能全面、适当地履行本合同义务，则甲方有权直接从履约保证金中扣除其所遭受的全部损失，或者根据本合同中关于违约责任的约定扣除乙方应当支付的全部违约金,同时不影响甲方要求乙方承担合同约定的超过履约保证金的违约责任的权利。</w:t>
            </w:r>
          </w:p>
        </w:tc>
      </w:tr>
      <w:tr w14:paraId="5E86E2F3">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2" w:space="0"/>
              <w:bottom w:val="single" w:color="auto" w:sz="6" w:space="0"/>
              <w:right w:val="single" w:color="auto" w:sz="6" w:space="0"/>
            </w:tcBorders>
            <w:vAlign w:val="center"/>
          </w:tcPr>
          <w:p w14:paraId="49BD9C2C">
            <w:pPr>
              <w:adjustRightInd w:val="0"/>
              <w:snapToGrid w:val="0"/>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第二节</w:t>
            </w:r>
          </w:p>
          <w:p w14:paraId="0A1D2A6A">
            <w:pPr>
              <w:adjustRightInd w:val="0"/>
              <w:snapToGrid w:val="0"/>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第13.3款</w:t>
            </w:r>
          </w:p>
        </w:tc>
        <w:tc>
          <w:tcPr>
            <w:tcW w:w="1742" w:type="dxa"/>
            <w:tcBorders>
              <w:top w:val="single" w:color="auto" w:sz="6" w:space="0"/>
              <w:left w:val="single" w:color="auto" w:sz="6" w:space="0"/>
              <w:bottom w:val="single" w:color="auto" w:sz="6" w:space="0"/>
              <w:right w:val="single" w:color="auto" w:sz="6" w:space="0"/>
            </w:tcBorders>
            <w:vAlign w:val="center"/>
          </w:tcPr>
          <w:p w14:paraId="1BF0E39A">
            <w:pPr>
              <w:adjustRightInd w:val="0"/>
              <w:snapToGrid w:val="0"/>
              <w:spacing w:line="360" w:lineRule="auto"/>
              <w:jc w:val="left"/>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履约保证金退还时间及逾期退还的违约金</w:t>
            </w:r>
          </w:p>
        </w:tc>
        <w:tc>
          <w:tcPr>
            <w:tcW w:w="5170" w:type="dxa"/>
            <w:tcBorders>
              <w:top w:val="single" w:color="auto" w:sz="6" w:space="0"/>
              <w:left w:val="single" w:color="auto" w:sz="6" w:space="0"/>
              <w:bottom w:val="single" w:color="auto" w:sz="6" w:space="0"/>
              <w:right w:val="double" w:color="auto" w:sz="2" w:space="0"/>
            </w:tcBorders>
            <w:vAlign w:val="center"/>
          </w:tcPr>
          <w:p w14:paraId="03583C2D">
            <w:pPr>
              <w:adjustRightInd w:val="0"/>
              <w:snapToGrid w:val="0"/>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1.如果乙方能按约全面履行合同义务，甲方将在10个工作日内，退还乙方提供的履约保证金。</w:t>
            </w:r>
          </w:p>
          <w:p w14:paraId="6B094AC9">
            <w:pPr>
              <w:adjustRightInd w:val="0"/>
              <w:snapToGrid w:val="0"/>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甲方逾期退还履约保证金的，乙方有权要求甲方自约定的退还期限届满次日起，每逾期一日，按应退还的履约保证金款项的0.04%支付违约金，直至实际退还之日为止。因乙方原因造成甲方逾期退还履约保证金的除外。</w:t>
            </w:r>
          </w:p>
        </w:tc>
      </w:tr>
      <w:tr w14:paraId="74C807B8">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784" w:hRule="atLeast"/>
        </w:trPr>
        <w:tc>
          <w:tcPr>
            <w:tcW w:w="1607" w:type="dxa"/>
            <w:tcBorders>
              <w:top w:val="single" w:color="auto" w:sz="6" w:space="0"/>
              <w:left w:val="double" w:color="auto" w:sz="2" w:space="0"/>
              <w:bottom w:val="single" w:color="auto" w:sz="6" w:space="0"/>
              <w:right w:val="single" w:color="auto" w:sz="6" w:space="0"/>
            </w:tcBorders>
            <w:vAlign w:val="center"/>
          </w:tcPr>
          <w:p w14:paraId="77BD6DB3">
            <w:pPr>
              <w:adjustRightInd w:val="0"/>
              <w:snapToGrid w:val="0"/>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第二节</w:t>
            </w:r>
          </w:p>
          <w:p w14:paraId="39265BAC">
            <w:pPr>
              <w:adjustRightInd w:val="0"/>
              <w:snapToGrid w:val="0"/>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第14.1（3）项</w:t>
            </w:r>
          </w:p>
        </w:tc>
        <w:tc>
          <w:tcPr>
            <w:tcW w:w="1742" w:type="dxa"/>
            <w:tcBorders>
              <w:top w:val="single" w:color="auto" w:sz="6" w:space="0"/>
              <w:left w:val="single" w:color="auto" w:sz="6" w:space="0"/>
              <w:bottom w:val="single" w:color="auto" w:sz="6" w:space="0"/>
              <w:right w:val="single" w:color="auto" w:sz="6" w:space="0"/>
            </w:tcBorders>
            <w:vAlign w:val="center"/>
          </w:tcPr>
          <w:p w14:paraId="0F97A1D7">
            <w:pPr>
              <w:adjustRightInd w:val="0"/>
              <w:snapToGrid w:val="0"/>
              <w:spacing w:line="360" w:lineRule="auto"/>
              <w:jc w:val="left"/>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运行监督、维修期限</w:t>
            </w:r>
          </w:p>
        </w:tc>
        <w:tc>
          <w:tcPr>
            <w:tcW w:w="5170" w:type="dxa"/>
            <w:tcBorders>
              <w:top w:val="single" w:color="auto" w:sz="6" w:space="0"/>
              <w:left w:val="single" w:color="auto" w:sz="6" w:space="0"/>
              <w:bottom w:val="single" w:color="auto" w:sz="6" w:space="0"/>
              <w:right w:val="double" w:color="auto" w:sz="2" w:space="0"/>
            </w:tcBorders>
            <w:vAlign w:val="center"/>
          </w:tcPr>
          <w:p w14:paraId="47286C1A">
            <w:pPr>
              <w:adjustRightInd w:val="0"/>
              <w:snapToGrid w:val="0"/>
              <w:spacing w:line="360" w:lineRule="auto"/>
              <w:jc w:val="left"/>
              <w:rPr>
                <w:rFonts w:hint="eastAsia" w:ascii="宋体" w:hAnsi="宋体" w:eastAsia="宋体" w:cs="Times New Roman"/>
                <w:color w:val="auto"/>
                <w:sz w:val="24"/>
                <w:szCs w:val="24"/>
                <w:highlight w:val="none"/>
              </w:rPr>
            </w:pPr>
          </w:p>
        </w:tc>
      </w:tr>
      <w:tr w14:paraId="1DF6960F">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784" w:hRule="atLeast"/>
        </w:trPr>
        <w:tc>
          <w:tcPr>
            <w:tcW w:w="1607" w:type="dxa"/>
            <w:tcBorders>
              <w:top w:val="single" w:color="auto" w:sz="6" w:space="0"/>
              <w:left w:val="double" w:color="auto" w:sz="2" w:space="0"/>
              <w:bottom w:val="single" w:color="auto" w:sz="6" w:space="0"/>
              <w:right w:val="single" w:color="auto" w:sz="6" w:space="0"/>
            </w:tcBorders>
            <w:vAlign w:val="center"/>
          </w:tcPr>
          <w:p w14:paraId="38DD1BB9">
            <w:pPr>
              <w:adjustRightInd w:val="0"/>
              <w:snapToGrid w:val="0"/>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第二节</w:t>
            </w:r>
          </w:p>
          <w:p w14:paraId="157D680B">
            <w:pPr>
              <w:adjustRightInd w:val="0"/>
              <w:snapToGrid w:val="0"/>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第14.1（5）项</w:t>
            </w:r>
          </w:p>
        </w:tc>
        <w:tc>
          <w:tcPr>
            <w:tcW w:w="1742" w:type="dxa"/>
            <w:tcBorders>
              <w:top w:val="single" w:color="auto" w:sz="6" w:space="0"/>
              <w:left w:val="single" w:color="auto" w:sz="6" w:space="0"/>
              <w:bottom w:val="single" w:color="auto" w:sz="6" w:space="0"/>
              <w:right w:val="single" w:color="auto" w:sz="6" w:space="0"/>
            </w:tcBorders>
            <w:vAlign w:val="center"/>
          </w:tcPr>
          <w:p w14:paraId="070D2DB0">
            <w:pPr>
              <w:adjustRightInd w:val="0"/>
              <w:snapToGrid w:val="0"/>
              <w:spacing w:line="360" w:lineRule="auto"/>
              <w:jc w:val="left"/>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货物回收的约定</w:t>
            </w:r>
          </w:p>
        </w:tc>
        <w:tc>
          <w:tcPr>
            <w:tcW w:w="5170" w:type="dxa"/>
            <w:tcBorders>
              <w:top w:val="single" w:color="auto" w:sz="6" w:space="0"/>
              <w:left w:val="single" w:color="auto" w:sz="6" w:space="0"/>
              <w:bottom w:val="single" w:color="auto" w:sz="6" w:space="0"/>
              <w:right w:val="double" w:color="auto" w:sz="2" w:space="0"/>
            </w:tcBorders>
            <w:vAlign w:val="center"/>
          </w:tcPr>
          <w:p w14:paraId="1F9E7B8D">
            <w:pPr>
              <w:adjustRightInd w:val="0"/>
              <w:snapToGrid w:val="0"/>
              <w:spacing w:line="360" w:lineRule="auto"/>
              <w:jc w:val="left"/>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无</w:t>
            </w:r>
          </w:p>
        </w:tc>
      </w:tr>
      <w:tr w14:paraId="63D35DCC">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2" w:space="0"/>
              <w:bottom w:val="single" w:color="auto" w:sz="6" w:space="0"/>
              <w:right w:val="single" w:color="auto" w:sz="6" w:space="0"/>
            </w:tcBorders>
            <w:vAlign w:val="center"/>
          </w:tcPr>
          <w:p w14:paraId="17E77C04">
            <w:pPr>
              <w:adjustRightInd w:val="0"/>
              <w:snapToGrid w:val="0"/>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第二节</w:t>
            </w:r>
          </w:p>
          <w:p w14:paraId="268D72A2">
            <w:pPr>
              <w:adjustRightInd w:val="0"/>
              <w:snapToGrid w:val="0"/>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第14.1（6）项</w:t>
            </w:r>
          </w:p>
        </w:tc>
        <w:tc>
          <w:tcPr>
            <w:tcW w:w="1742" w:type="dxa"/>
            <w:tcBorders>
              <w:top w:val="single" w:color="auto" w:sz="6" w:space="0"/>
              <w:left w:val="single" w:color="auto" w:sz="6" w:space="0"/>
              <w:bottom w:val="single" w:color="auto" w:sz="6" w:space="0"/>
              <w:right w:val="single" w:color="auto" w:sz="6" w:space="0"/>
            </w:tcBorders>
            <w:vAlign w:val="center"/>
          </w:tcPr>
          <w:p w14:paraId="1B7367C7">
            <w:pPr>
              <w:adjustRightInd w:val="0"/>
              <w:snapToGrid w:val="0"/>
              <w:spacing w:line="360" w:lineRule="auto"/>
              <w:jc w:val="left"/>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乙方提供的其他服务</w:t>
            </w:r>
          </w:p>
        </w:tc>
        <w:tc>
          <w:tcPr>
            <w:tcW w:w="5170" w:type="dxa"/>
            <w:tcBorders>
              <w:top w:val="single" w:color="auto" w:sz="6" w:space="0"/>
              <w:left w:val="single" w:color="auto" w:sz="6" w:space="0"/>
              <w:bottom w:val="single" w:color="auto" w:sz="6" w:space="0"/>
              <w:right w:val="double" w:color="auto" w:sz="2" w:space="0"/>
            </w:tcBorders>
            <w:vAlign w:val="center"/>
          </w:tcPr>
          <w:p w14:paraId="3560F63D">
            <w:pPr>
              <w:adjustRightInd w:val="0"/>
              <w:snapToGrid w:val="0"/>
              <w:spacing w:line="360" w:lineRule="auto"/>
              <w:jc w:val="left"/>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无</w:t>
            </w:r>
          </w:p>
        </w:tc>
      </w:tr>
      <w:tr w14:paraId="512E66C2">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2" w:space="0"/>
              <w:bottom w:val="single" w:color="auto" w:sz="6" w:space="0"/>
              <w:right w:val="single" w:color="auto" w:sz="6" w:space="0"/>
            </w:tcBorders>
            <w:vAlign w:val="center"/>
          </w:tcPr>
          <w:p w14:paraId="3EC23A92">
            <w:pPr>
              <w:adjustRightInd w:val="0"/>
              <w:snapToGrid w:val="0"/>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第二节</w:t>
            </w:r>
          </w:p>
          <w:p w14:paraId="3C4DB640">
            <w:pPr>
              <w:adjustRightInd w:val="0"/>
              <w:snapToGrid w:val="0"/>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第15.1款</w:t>
            </w:r>
          </w:p>
        </w:tc>
        <w:tc>
          <w:tcPr>
            <w:tcW w:w="1742" w:type="dxa"/>
            <w:tcBorders>
              <w:top w:val="single" w:color="auto" w:sz="6" w:space="0"/>
              <w:left w:val="single" w:color="auto" w:sz="6" w:space="0"/>
              <w:bottom w:val="single" w:color="auto" w:sz="6" w:space="0"/>
              <w:right w:val="single" w:color="auto" w:sz="6" w:space="0"/>
            </w:tcBorders>
            <w:vAlign w:val="center"/>
          </w:tcPr>
          <w:p w14:paraId="0C558C78">
            <w:pPr>
              <w:adjustRightInd w:val="0"/>
              <w:snapToGrid w:val="0"/>
              <w:spacing w:line="360" w:lineRule="auto"/>
              <w:jc w:val="left"/>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修理、重作、更换相关具体规定</w:t>
            </w:r>
          </w:p>
        </w:tc>
        <w:tc>
          <w:tcPr>
            <w:tcW w:w="5170" w:type="dxa"/>
            <w:tcBorders>
              <w:top w:val="single" w:color="auto" w:sz="6" w:space="0"/>
              <w:left w:val="single" w:color="auto" w:sz="6" w:space="0"/>
              <w:bottom w:val="single" w:color="auto" w:sz="6" w:space="0"/>
              <w:right w:val="double" w:color="auto" w:sz="2" w:space="0"/>
            </w:tcBorders>
            <w:vAlign w:val="center"/>
          </w:tcPr>
          <w:p w14:paraId="48FA9B8E">
            <w:pPr>
              <w:adjustRightInd w:val="0"/>
              <w:snapToGrid w:val="0"/>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乙方交货不符合合同质量标准，乙方必须重新提供符合质量标准的产品，由此造成的误期赔偿费按照前款约定执行。如卖方在甲方规定的时间内未能提供符合质量标准的产品，甲方有权终止合同，提请政府采购监管部门将乙方列入不良行为记录名单，在一至三年内禁止参加政府采购活动，同时要求入围供应商终止与卖方的采购协议。</w:t>
            </w:r>
          </w:p>
        </w:tc>
      </w:tr>
      <w:tr w14:paraId="3B785EFC">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2" w:space="0"/>
              <w:bottom w:val="single" w:color="auto" w:sz="6" w:space="0"/>
              <w:right w:val="single" w:color="auto" w:sz="6" w:space="0"/>
            </w:tcBorders>
            <w:vAlign w:val="center"/>
          </w:tcPr>
          <w:p w14:paraId="7C2907F3">
            <w:pPr>
              <w:adjustRightInd w:val="0"/>
              <w:snapToGrid w:val="0"/>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第二节</w:t>
            </w:r>
          </w:p>
          <w:p w14:paraId="4D22EF8F">
            <w:pPr>
              <w:adjustRightInd w:val="0"/>
              <w:snapToGrid w:val="0"/>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第15.2（2）项</w:t>
            </w:r>
          </w:p>
        </w:tc>
        <w:tc>
          <w:tcPr>
            <w:tcW w:w="1742" w:type="dxa"/>
            <w:tcBorders>
              <w:top w:val="single" w:color="auto" w:sz="6" w:space="0"/>
              <w:left w:val="single" w:color="auto" w:sz="6" w:space="0"/>
              <w:bottom w:val="single" w:color="auto" w:sz="6" w:space="0"/>
              <w:right w:val="single" w:color="auto" w:sz="6" w:space="0"/>
            </w:tcBorders>
            <w:vAlign w:val="center"/>
          </w:tcPr>
          <w:p w14:paraId="504D2B92">
            <w:pPr>
              <w:adjustRightInd w:val="0"/>
              <w:snapToGrid w:val="0"/>
              <w:spacing w:line="360" w:lineRule="auto"/>
              <w:jc w:val="left"/>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迟延交货赔偿费</w:t>
            </w:r>
          </w:p>
        </w:tc>
        <w:tc>
          <w:tcPr>
            <w:tcW w:w="5170" w:type="dxa"/>
            <w:tcBorders>
              <w:top w:val="single" w:color="auto" w:sz="6" w:space="0"/>
              <w:left w:val="single" w:color="auto" w:sz="6" w:space="0"/>
              <w:bottom w:val="single" w:color="auto" w:sz="6" w:space="0"/>
              <w:right w:val="double" w:color="auto" w:sz="2" w:space="0"/>
            </w:tcBorders>
            <w:vAlign w:val="center"/>
          </w:tcPr>
          <w:p w14:paraId="3B8D6C16">
            <w:pPr>
              <w:adjustRightInd w:val="0"/>
              <w:snapToGrid w:val="0"/>
              <w:spacing w:line="360" w:lineRule="auto"/>
              <w:jc w:val="left"/>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除遇到合同规定的不可抗力情况外，如果乙方没有按照合同的时间交货和提供服务，甲方应在不影响合同项下的其他补救措施的情况下，有权从合同款项中扣除乙方应当支付的违约金。每延误一天的，乙方应当按迟交货物或服务的费用的百分之零点零肆(0.04％)向甲方支付违约金，直至实际交付为止。延期交付超过 30日时，甲方有权根据合同条款第21条的规定解除合同，甲方因此解除合同的，乙方应当支付合同总价30%的违约金作为赔偿。</w:t>
            </w:r>
          </w:p>
        </w:tc>
      </w:tr>
      <w:tr w14:paraId="283F04C1">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3163" w:hRule="atLeast"/>
        </w:trPr>
        <w:tc>
          <w:tcPr>
            <w:tcW w:w="1607" w:type="dxa"/>
            <w:tcBorders>
              <w:top w:val="single" w:color="auto" w:sz="6" w:space="0"/>
              <w:left w:val="double" w:color="auto" w:sz="2" w:space="0"/>
              <w:bottom w:val="single" w:color="auto" w:sz="6" w:space="0"/>
              <w:right w:val="single" w:color="auto" w:sz="6" w:space="0"/>
            </w:tcBorders>
            <w:vAlign w:val="center"/>
          </w:tcPr>
          <w:p w14:paraId="13E0BEF8">
            <w:pPr>
              <w:adjustRightInd w:val="0"/>
              <w:snapToGrid w:val="0"/>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第二节</w:t>
            </w:r>
          </w:p>
          <w:p w14:paraId="300AE645">
            <w:pPr>
              <w:adjustRightInd w:val="0"/>
              <w:snapToGrid w:val="0"/>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第15.3款</w:t>
            </w:r>
          </w:p>
        </w:tc>
        <w:tc>
          <w:tcPr>
            <w:tcW w:w="1742" w:type="dxa"/>
            <w:tcBorders>
              <w:top w:val="single" w:color="auto" w:sz="6" w:space="0"/>
              <w:left w:val="single" w:color="auto" w:sz="6" w:space="0"/>
              <w:bottom w:val="single" w:color="auto" w:sz="6" w:space="0"/>
              <w:right w:val="single" w:color="auto" w:sz="6" w:space="0"/>
            </w:tcBorders>
            <w:vAlign w:val="center"/>
          </w:tcPr>
          <w:p w14:paraId="2D30A50F">
            <w:pPr>
              <w:adjustRightInd w:val="0"/>
              <w:snapToGrid w:val="0"/>
              <w:spacing w:line="360" w:lineRule="auto"/>
              <w:jc w:val="left"/>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逾期付款利息</w:t>
            </w:r>
          </w:p>
        </w:tc>
        <w:tc>
          <w:tcPr>
            <w:tcW w:w="5170" w:type="dxa"/>
            <w:tcBorders>
              <w:top w:val="single" w:color="auto" w:sz="6" w:space="0"/>
              <w:left w:val="single" w:color="auto" w:sz="6" w:space="0"/>
              <w:bottom w:val="single" w:color="auto" w:sz="6" w:space="0"/>
              <w:right w:val="double" w:color="auto" w:sz="2" w:space="0"/>
            </w:tcBorders>
            <w:vAlign w:val="center"/>
          </w:tcPr>
          <w:p w14:paraId="3E38E892">
            <w:pPr>
              <w:adjustRightInd w:val="0"/>
              <w:snapToGrid w:val="0"/>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除遇到合同规定的不可抗力情况外，如果甲方没有按照本合同约定的时间付款，那么乙方可要求甲方支付违约金。每逾期付款一日的，甲方应当按应付而未付款的0.04%向乙方支付违约金，直至实际付款之日为止；逾期付款超过180日时，乙方有权在要求甲方支付违约金的同时，书面通知甲方解除本合同。</w:t>
            </w:r>
          </w:p>
        </w:tc>
      </w:tr>
      <w:tr w14:paraId="0DB963F8">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729" w:hRule="atLeast"/>
        </w:trPr>
        <w:tc>
          <w:tcPr>
            <w:tcW w:w="1607" w:type="dxa"/>
            <w:tcBorders>
              <w:top w:val="single" w:color="auto" w:sz="6" w:space="0"/>
              <w:left w:val="double" w:color="auto" w:sz="2" w:space="0"/>
              <w:bottom w:val="single" w:color="auto" w:sz="2" w:space="0"/>
              <w:right w:val="single" w:color="auto" w:sz="2" w:space="0"/>
            </w:tcBorders>
            <w:vAlign w:val="center"/>
          </w:tcPr>
          <w:p w14:paraId="14A6202E">
            <w:pPr>
              <w:adjustRightInd w:val="0"/>
              <w:snapToGrid w:val="0"/>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第二节</w:t>
            </w:r>
          </w:p>
          <w:p w14:paraId="442D43CD">
            <w:pPr>
              <w:adjustRightInd w:val="0"/>
              <w:snapToGrid w:val="0"/>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第15.4款</w:t>
            </w:r>
          </w:p>
        </w:tc>
        <w:tc>
          <w:tcPr>
            <w:tcW w:w="1742" w:type="dxa"/>
            <w:tcBorders>
              <w:top w:val="single" w:color="auto" w:sz="6" w:space="0"/>
              <w:left w:val="nil"/>
              <w:bottom w:val="single" w:color="auto" w:sz="2" w:space="0"/>
              <w:right w:val="single" w:color="auto" w:sz="2" w:space="0"/>
            </w:tcBorders>
            <w:vAlign w:val="center"/>
          </w:tcPr>
          <w:p w14:paraId="178EE711">
            <w:pPr>
              <w:adjustRightInd w:val="0"/>
              <w:snapToGrid w:val="0"/>
              <w:spacing w:line="360" w:lineRule="auto"/>
              <w:jc w:val="left"/>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其他违约责任</w:t>
            </w:r>
          </w:p>
        </w:tc>
        <w:tc>
          <w:tcPr>
            <w:tcW w:w="5170" w:type="dxa"/>
            <w:tcBorders>
              <w:top w:val="single" w:color="auto" w:sz="6" w:space="0"/>
              <w:left w:val="nil"/>
              <w:bottom w:val="single" w:color="auto" w:sz="2" w:space="0"/>
              <w:right w:val="double" w:color="auto" w:sz="2" w:space="0"/>
            </w:tcBorders>
            <w:vAlign w:val="center"/>
          </w:tcPr>
          <w:p w14:paraId="6043379D">
            <w:pPr>
              <w:adjustRightInd w:val="0"/>
              <w:snapToGrid w:val="0"/>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无</w:t>
            </w:r>
          </w:p>
        </w:tc>
      </w:tr>
      <w:tr w14:paraId="281BCA7A">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2198" w:hRule="atLeast"/>
        </w:trPr>
        <w:tc>
          <w:tcPr>
            <w:tcW w:w="1607" w:type="dxa"/>
            <w:tcBorders>
              <w:top w:val="single" w:color="auto" w:sz="2" w:space="0"/>
              <w:left w:val="double" w:color="auto" w:sz="2" w:space="0"/>
              <w:bottom w:val="single" w:color="auto" w:sz="6" w:space="0"/>
              <w:right w:val="single" w:color="auto" w:sz="2" w:space="0"/>
            </w:tcBorders>
            <w:vAlign w:val="center"/>
          </w:tcPr>
          <w:p w14:paraId="1C3CE415">
            <w:pPr>
              <w:adjustRightInd w:val="0"/>
              <w:snapToGrid w:val="0"/>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第二节</w:t>
            </w:r>
          </w:p>
          <w:p w14:paraId="6706BBF0">
            <w:pPr>
              <w:adjustRightInd w:val="0"/>
              <w:snapToGrid w:val="0"/>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第19.2款</w:t>
            </w:r>
          </w:p>
        </w:tc>
        <w:tc>
          <w:tcPr>
            <w:tcW w:w="1742" w:type="dxa"/>
            <w:tcBorders>
              <w:top w:val="single" w:color="auto" w:sz="2" w:space="0"/>
              <w:left w:val="nil"/>
              <w:bottom w:val="single" w:color="auto" w:sz="6" w:space="0"/>
              <w:right w:val="single" w:color="auto" w:sz="2" w:space="0"/>
            </w:tcBorders>
            <w:vAlign w:val="center"/>
          </w:tcPr>
          <w:p w14:paraId="0864DCE1">
            <w:pPr>
              <w:adjustRightInd w:val="0"/>
              <w:snapToGrid w:val="0"/>
              <w:spacing w:line="360" w:lineRule="auto"/>
              <w:jc w:val="left"/>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解决争议的方法</w:t>
            </w:r>
          </w:p>
        </w:tc>
        <w:tc>
          <w:tcPr>
            <w:tcW w:w="5170" w:type="dxa"/>
            <w:tcBorders>
              <w:top w:val="single" w:color="auto" w:sz="2" w:space="0"/>
              <w:left w:val="nil"/>
              <w:bottom w:val="single" w:color="auto" w:sz="6" w:space="0"/>
              <w:right w:val="double" w:color="auto" w:sz="2" w:space="0"/>
            </w:tcBorders>
            <w:vAlign w:val="center"/>
          </w:tcPr>
          <w:p w14:paraId="207A4C6D">
            <w:pPr>
              <w:adjustRightInd w:val="0"/>
              <w:snapToGrid w:val="0"/>
              <w:spacing w:line="360" w:lineRule="auto"/>
              <w:jc w:val="left"/>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因本合同及合同有关事项发生的争议，按下列第（2）种方式解决：</w:t>
            </w:r>
          </w:p>
          <w:p w14:paraId="0ED2BD47">
            <w:pPr>
              <w:adjustRightInd w:val="0"/>
              <w:snapToGrid w:val="0"/>
              <w:spacing w:line="360" w:lineRule="auto"/>
              <w:jc w:val="left"/>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（1）向</w:t>
            </w:r>
            <w:r>
              <w:rPr>
                <w:rFonts w:hint="eastAsia" w:ascii="宋体" w:hAnsi="宋体" w:eastAsia="宋体" w:cs="Times New Roman"/>
                <w:color w:val="auto"/>
                <w:sz w:val="24"/>
                <w:szCs w:val="24"/>
                <w:highlight w:val="none"/>
                <w:u w:val="single"/>
              </w:rPr>
              <w:t>交易地点所在地</w:t>
            </w:r>
            <w:r>
              <w:rPr>
                <w:rFonts w:hint="eastAsia" w:ascii="宋体" w:hAnsi="宋体" w:eastAsia="宋体" w:cs="Times New Roman"/>
                <w:color w:val="auto"/>
                <w:sz w:val="24"/>
                <w:szCs w:val="24"/>
                <w:highlight w:val="none"/>
              </w:rPr>
              <w:t>仲裁委员会申请仲裁，仲裁地点为交易地点所在地；</w:t>
            </w:r>
          </w:p>
          <w:p w14:paraId="45B411CD">
            <w:pPr>
              <w:adjustRightInd w:val="0"/>
              <w:snapToGrid w:val="0"/>
              <w:spacing w:line="360" w:lineRule="auto"/>
              <w:jc w:val="left"/>
              <w:rPr>
                <w:rFonts w:hint="eastAsia" w:ascii="宋体" w:hAnsi="宋体" w:eastAsia="宋体" w:cs="Times New Roman"/>
                <w:color w:val="auto"/>
                <w:sz w:val="24"/>
                <w:szCs w:val="24"/>
                <w:highlight w:val="none"/>
                <w:u w:val="single"/>
              </w:rPr>
            </w:pPr>
            <w:r>
              <w:rPr>
                <w:rFonts w:hint="eastAsia" w:ascii="宋体" w:hAnsi="宋体" w:eastAsia="宋体" w:cs="Times New Roman"/>
                <w:color w:val="auto"/>
                <w:sz w:val="24"/>
                <w:szCs w:val="24"/>
                <w:highlight w:val="none"/>
              </w:rPr>
              <w:t>（2）向</w:t>
            </w:r>
            <w:r>
              <w:rPr>
                <w:rFonts w:hint="eastAsia" w:ascii="宋体" w:hAnsi="宋体" w:eastAsia="宋体" w:cs="Times New Roman"/>
                <w:color w:val="auto"/>
                <w:sz w:val="24"/>
                <w:szCs w:val="24"/>
                <w:highlight w:val="none"/>
                <w:u w:val="single"/>
              </w:rPr>
              <w:t>交易地点所在地</w:t>
            </w:r>
            <w:r>
              <w:rPr>
                <w:rFonts w:hint="eastAsia" w:ascii="宋体" w:hAnsi="宋体" w:eastAsia="宋体" w:cs="Times New Roman"/>
                <w:color w:val="auto"/>
                <w:sz w:val="24"/>
                <w:szCs w:val="24"/>
                <w:highlight w:val="none"/>
              </w:rPr>
              <w:t>人民法院起诉。</w:t>
            </w:r>
          </w:p>
        </w:tc>
      </w:tr>
      <w:tr w14:paraId="5B6FC320">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770" w:hRule="atLeast"/>
        </w:trPr>
        <w:tc>
          <w:tcPr>
            <w:tcW w:w="1607" w:type="dxa"/>
            <w:tcBorders>
              <w:top w:val="single" w:color="auto" w:sz="6" w:space="0"/>
              <w:left w:val="double" w:color="auto" w:sz="2" w:space="0"/>
              <w:bottom w:val="double" w:color="auto" w:sz="2" w:space="0"/>
              <w:right w:val="single" w:color="auto" w:sz="6" w:space="0"/>
            </w:tcBorders>
            <w:vAlign w:val="center"/>
          </w:tcPr>
          <w:p w14:paraId="4D337E77">
            <w:pPr>
              <w:adjustRightInd w:val="0"/>
              <w:snapToGrid w:val="0"/>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第二节</w:t>
            </w:r>
          </w:p>
          <w:p w14:paraId="4B877465">
            <w:pPr>
              <w:adjustRightInd w:val="0"/>
              <w:snapToGrid w:val="0"/>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第23.1款</w:t>
            </w:r>
          </w:p>
        </w:tc>
        <w:tc>
          <w:tcPr>
            <w:tcW w:w="1742" w:type="dxa"/>
            <w:tcBorders>
              <w:top w:val="single" w:color="auto" w:sz="6" w:space="0"/>
              <w:left w:val="single" w:color="auto" w:sz="6" w:space="0"/>
              <w:bottom w:val="double" w:color="auto" w:sz="2" w:space="0"/>
              <w:right w:val="single" w:color="auto" w:sz="6" w:space="0"/>
            </w:tcBorders>
            <w:vAlign w:val="center"/>
          </w:tcPr>
          <w:p w14:paraId="26892660">
            <w:pPr>
              <w:adjustRightInd w:val="0"/>
              <w:snapToGrid w:val="0"/>
              <w:spacing w:line="360" w:lineRule="auto"/>
              <w:jc w:val="left"/>
              <w:rPr>
                <w:rFonts w:hint="eastAsia" w:ascii="宋体" w:hAnsi="宋体" w:eastAsia="宋体" w:cs="Times New Roman"/>
                <w:color w:val="auto"/>
                <w:sz w:val="24"/>
                <w:szCs w:val="24"/>
                <w:highlight w:val="none"/>
              </w:rPr>
            </w:pPr>
            <w:r>
              <w:rPr>
                <w:rFonts w:hint="eastAsia" w:ascii="宋体" w:hAnsi="宋体" w:eastAsia="宋体" w:cs="Times New Roman"/>
                <w:bCs/>
                <w:color w:val="auto"/>
                <w:sz w:val="24"/>
                <w:szCs w:val="24"/>
                <w:highlight w:val="none"/>
              </w:rPr>
              <w:t>其他专用条款</w:t>
            </w:r>
          </w:p>
        </w:tc>
        <w:tc>
          <w:tcPr>
            <w:tcW w:w="5170" w:type="dxa"/>
            <w:tcBorders>
              <w:top w:val="single" w:color="auto" w:sz="6" w:space="0"/>
              <w:left w:val="single" w:color="auto" w:sz="6" w:space="0"/>
              <w:bottom w:val="double" w:color="auto" w:sz="2" w:space="0"/>
              <w:right w:val="double" w:color="auto" w:sz="2" w:space="0"/>
            </w:tcBorders>
            <w:vAlign w:val="center"/>
          </w:tcPr>
          <w:p w14:paraId="769208FD">
            <w:pPr>
              <w:adjustRightInd w:val="0"/>
              <w:snapToGrid w:val="0"/>
              <w:spacing w:line="360" w:lineRule="auto"/>
              <w:jc w:val="left"/>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无</w:t>
            </w:r>
          </w:p>
        </w:tc>
      </w:tr>
    </w:tbl>
    <w:p w14:paraId="699D8E25">
      <w:pPr>
        <w:widowControl/>
        <w:jc w:val="left"/>
        <w:rPr>
          <w:rFonts w:hint="eastAsia" w:asciiTheme="minorEastAsia" w:hAnsiTheme="minorEastAsia" w:eastAsiaTheme="minorEastAsia"/>
          <w:color w:val="auto"/>
          <w:sz w:val="24"/>
          <w:highlight w:val="none"/>
        </w:rPr>
      </w:pPr>
    </w:p>
    <w:p w14:paraId="5C631461">
      <w:pPr>
        <w:spacing w:line="360" w:lineRule="auto"/>
        <w:jc w:val="center"/>
        <w:outlineLvl w:val="0"/>
        <w:rPr>
          <w:rFonts w:hint="eastAsia" w:asciiTheme="minorEastAsia" w:hAnsiTheme="minorEastAsia" w:eastAsiaTheme="minorEastAsia"/>
          <w:b/>
          <w:color w:val="auto"/>
          <w:sz w:val="28"/>
          <w:highlight w:val="none"/>
        </w:rPr>
      </w:pPr>
      <w:bookmarkStart w:id="63" w:name="_Toc221656367"/>
      <w:r>
        <w:rPr>
          <w:rFonts w:hint="eastAsia" w:asciiTheme="minorEastAsia" w:hAnsiTheme="minorEastAsia" w:eastAsiaTheme="minorEastAsia"/>
          <w:b/>
          <w:color w:val="auto"/>
          <w:sz w:val="28"/>
          <w:highlight w:val="none"/>
        </w:rPr>
        <w:t>第六章  投标文件格式</w:t>
      </w:r>
      <w:bookmarkEnd w:id="63"/>
    </w:p>
    <w:p w14:paraId="6011BF81">
      <w:pPr>
        <w:spacing w:line="900" w:lineRule="exact"/>
        <w:jc w:val="center"/>
        <w:rPr>
          <w:rFonts w:hint="eastAsia" w:asciiTheme="minorEastAsia" w:hAnsiTheme="minorEastAsia" w:eastAsiaTheme="minorEastAsia"/>
          <w:b/>
          <w:color w:val="auto"/>
          <w:sz w:val="72"/>
          <w:highlight w:val="none"/>
        </w:rPr>
      </w:pPr>
    </w:p>
    <w:p w14:paraId="23EC91C7">
      <w:pPr>
        <w:spacing w:line="900" w:lineRule="exact"/>
        <w:jc w:val="center"/>
        <w:rPr>
          <w:rFonts w:hint="eastAsia" w:asciiTheme="minorEastAsia" w:hAnsiTheme="minorEastAsia" w:eastAsiaTheme="minorEastAsia"/>
          <w:b/>
          <w:color w:val="auto"/>
          <w:sz w:val="72"/>
          <w:highlight w:val="none"/>
        </w:rPr>
      </w:pPr>
      <w:bookmarkStart w:id="64" w:name="_Toc651"/>
      <w:r>
        <w:rPr>
          <w:rFonts w:hint="eastAsia" w:asciiTheme="minorEastAsia" w:hAnsiTheme="minorEastAsia" w:eastAsiaTheme="minorEastAsia"/>
          <w:b/>
          <w:color w:val="auto"/>
          <w:sz w:val="72"/>
          <w:highlight w:val="none"/>
        </w:rPr>
        <w:t>投</w:t>
      </w:r>
      <w:bookmarkEnd w:id="64"/>
    </w:p>
    <w:p w14:paraId="45A157EF">
      <w:pPr>
        <w:spacing w:line="900" w:lineRule="exact"/>
        <w:jc w:val="center"/>
        <w:rPr>
          <w:rFonts w:hint="eastAsia" w:asciiTheme="minorEastAsia" w:hAnsiTheme="minorEastAsia" w:eastAsiaTheme="minorEastAsia"/>
          <w:b/>
          <w:color w:val="auto"/>
          <w:sz w:val="72"/>
          <w:highlight w:val="none"/>
        </w:rPr>
      </w:pPr>
    </w:p>
    <w:p w14:paraId="59B74117">
      <w:pPr>
        <w:spacing w:line="900" w:lineRule="exact"/>
        <w:jc w:val="center"/>
        <w:rPr>
          <w:rFonts w:hint="eastAsia" w:asciiTheme="minorEastAsia" w:hAnsiTheme="minorEastAsia" w:eastAsiaTheme="minorEastAsia"/>
          <w:b/>
          <w:color w:val="auto"/>
          <w:sz w:val="72"/>
          <w:highlight w:val="none"/>
        </w:rPr>
      </w:pPr>
      <w:bookmarkStart w:id="65" w:name="_Toc6148"/>
      <w:r>
        <w:rPr>
          <w:rFonts w:hint="eastAsia" w:asciiTheme="minorEastAsia" w:hAnsiTheme="minorEastAsia" w:eastAsiaTheme="minorEastAsia"/>
          <w:b/>
          <w:color w:val="auto"/>
          <w:sz w:val="72"/>
          <w:highlight w:val="none"/>
        </w:rPr>
        <w:t>标</w:t>
      </w:r>
      <w:bookmarkEnd w:id="65"/>
    </w:p>
    <w:p w14:paraId="66490451">
      <w:pPr>
        <w:spacing w:line="900" w:lineRule="exact"/>
        <w:jc w:val="center"/>
        <w:rPr>
          <w:rFonts w:hint="eastAsia" w:asciiTheme="minorEastAsia" w:hAnsiTheme="minorEastAsia" w:eastAsiaTheme="minorEastAsia"/>
          <w:b/>
          <w:color w:val="auto"/>
          <w:sz w:val="72"/>
          <w:highlight w:val="none"/>
        </w:rPr>
      </w:pPr>
    </w:p>
    <w:p w14:paraId="1A378606">
      <w:pPr>
        <w:spacing w:line="900" w:lineRule="exact"/>
        <w:jc w:val="center"/>
        <w:rPr>
          <w:rFonts w:hint="eastAsia" w:asciiTheme="minorEastAsia" w:hAnsiTheme="minorEastAsia" w:eastAsiaTheme="minorEastAsia"/>
          <w:b/>
          <w:color w:val="auto"/>
          <w:sz w:val="72"/>
          <w:highlight w:val="none"/>
        </w:rPr>
      </w:pPr>
      <w:bookmarkStart w:id="66" w:name="_Toc1338"/>
      <w:r>
        <w:rPr>
          <w:rFonts w:hint="eastAsia" w:asciiTheme="minorEastAsia" w:hAnsiTheme="minorEastAsia" w:eastAsiaTheme="minorEastAsia"/>
          <w:b/>
          <w:color w:val="auto"/>
          <w:sz w:val="72"/>
          <w:highlight w:val="none"/>
        </w:rPr>
        <w:t>文</w:t>
      </w:r>
      <w:bookmarkEnd w:id="66"/>
    </w:p>
    <w:p w14:paraId="5F1D4B8D">
      <w:pPr>
        <w:spacing w:line="900" w:lineRule="exact"/>
        <w:jc w:val="center"/>
        <w:rPr>
          <w:rFonts w:hint="eastAsia" w:asciiTheme="minorEastAsia" w:hAnsiTheme="minorEastAsia" w:eastAsiaTheme="minorEastAsia"/>
          <w:b/>
          <w:color w:val="auto"/>
          <w:sz w:val="72"/>
          <w:highlight w:val="none"/>
        </w:rPr>
      </w:pPr>
    </w:p>
    <w:p w14:paraId="01E842FB">
      <w:pPr>
        <w:jc w:val="center"/>
        <w:rPr>
          <w:rFonts w:hint="eastAsia" w:asciiTheme="minorEastAsia" w:hAnsiTheme="minorEastAsia" w:eastAsiaTheme="minorEastAsia"/>
          <w:b/>
          <w:color w:val="auto"/>
          <w:sz w:val="72"/>
          <w:highlight w:val="none"/>
        </w:rPr>
      </w:pPr>
      <w:bookmarkStart w:id="67" w:name="_Toc10796"/>
      <w:r>
        <w:rPr>
          <w:rFonts w:hint="eastAsia" w:asciiTheme="minorEastAsia" w:hAnsiTheme="minorEastAsia" w:eastAsiaTheme="minorEastAsia"/>
          <w:b/>
          <w:color w:val="auto"/>
          <w:sz w:val="72"/>
          <w:highlight w:val="none"/>
        </w:rPr>
        <w:t>件</w:t>
      </w:r>
      <w:bookmarkEnd w:id="67"/>
    </w:p>
    <w:p w14:paraId="465E5A18">
      <w:pPr>
        <w:spacing w:after="120" w:afterLines="50"/>
        <w:jc w:val="center"/>
        <w:rPr>
          <w:rFonts w:hint="eastAsia" w:asciiTheme="minorEastAsia" w:hAnsiTheme="minorEastAsia" w:eastAsiaTheme="minorEastAsia"/>
          <w:b/>
          <w:color w:val="auto"/>
          <w:sz w:val="72"/>
          <w:highlight w:val="none"/>
        </w:rPr>
      </w:pPr>
    </w:p>
    <w:p w14:paraId="2CB32C6E">
      <w:pPr>
        <w:spacing w:before="120" w:beforeLines="50" w:after="120" w:afterLines="50"/>
        <w:jc w:val="center"/>
        <w:rPr>
          <w:rFonts w:hint="eastAsia" w:asciiTheme="minorEastAsia" w:hAnsiTheme="minorEastAsia" w:eastAsiaTheme="minorEastAsia"/>
          <w:b/>
          <w:color w:val="auto"/>
          <w:sz w:val="32"/>
          <w:szCs w:val="32"/>
          <w:highlight w:val="none"/>
        </w:rPr>
      </w:pPr>
      <w:r>
        <w:rPr>
          <w:rFonts w:hint="eastAsia" w:asciiTheme="minorEastAsia" w:hAnsiTheme="minorEastAsia" w:eastAsiaTheme="minorEastAsia"/>
          <w:b/>
          <w:color w:val="auto"/>
          <w:sz w:val="32"/>
          <w:szCs w:val="32"/>
          <w:highlight w:val="none"/>
        </w:rPr>
        <w:t>第</w:t>
      </w:r>
      <w:r>
        <w:rPr>
          <w:rFonts w:hint="eastAsia" w:asciiTheme="minorEastAsia" w:hAnsiTheme="minorEastAsia" w:eastAsiaTheme="minorEastAsia"/>
          <w:b/>
          <w:color w:val="auto"/>
          <w:sz w:val="32"/>
          <w:szCs w:val="32"/>
          <w:highlight w:val="none"/>
          <w:u w:val="single"/>
        </w:rPr>
        <w:t xml:space="preserve">    </w:t>
      </w:r>
      <w:r>
        <w:rPr>
          <w:rFonts w:hint="eastAsia" w:asciiTheme="minorEastAsia" w:hAnsiTheme="minorEastAsia" w:eastAsiaTheme="minorEastAsia"/>
          <w:b/>
          <w:color w:val="auto"/>
          <w:sz w:val="32"/>
          <w:szCs w:val="32"/>
          <w:highlight w:val="none"/>
        </w:rPr>
        <w:t>包</w:t>
      </w:r>
    </w:p>
    <w:p w14:paraId="70BC3D0B">
      <w:pPr>
        <w:spacing w:after="120" w:afterLines="50" w:line="500" w:lineRule="exact"/>
        <w:jc w:val="center"/>
        <w:rPr>
          <w:rFonts w:hint="eastAsia" w:asciiTheme="minorEastAsia" w:hAnsiTheme="minorEastAsia" w:eastAsiaTheme="minorEastAsia"/>
          <w:b/>
          <w:color w:val="auto"/>
          <w:sz w:val="28"/>
          <w:szCs w:val="28"/>
          <w:highlight w:val="none"/>
        </w:rPr>
      </w:pPr>
    </w:p>
    <w:p w14:paraId="007EBAF9">
      <w:pPr>
        <w:tabs>
          <w:tab w:val="left" w:pos="2410"/>
        </w:tabs>
        <w:autoSpaceDE w:val="0"/>
        <w:autoSpaceDN w:val="0"/>
        <w:adjustRightInd w:val="0"/>
        <w:snapToGrid w:val="0"/>
        <w:spacing w:line="360" w:lineRule="auto"/>
        <w:ind w:firstLine="643" w:firstLineChars="200"/>
        <w:rPr>
          <w:rFonts w:hint="eastAsia" w:ascii="宋体" w:hAnsi="宋体" w:eastAsia="宋体"/>
          <w:b/>
          <w:color w:val="auto"/>
          <w:spacing w:val="20"/>
          <w:kern w:val="0"/>
          <w:sz w:val="32"/>
          <w:szCs w:val="32"/>
          <w:highlight w:val="none"/>
        </w:rPr>
      </w:pPr>
      <w:r>
        <w:rPr>
          <w:rFonts w:hint="eastAsia" w:asciiTheme="minorEastAsia" w:hAnsiTheme="minorEastAsia" w:eastAsiaTheme="minorEastAsia"/>
          <w:b/>
          <w:color w:val="auto"/>
          <w:sz w:val="32"/>
          <w:highlight w:val="none"/>
        </w:rPr>
        <w:t>项目名称：</w:t>
      </w:r>
      <w:r>
        <w:rPr>
          <w:rFonts w:hint="eastAsia" w:asciiTheme="minorEastAsia" w:hAnsiTheme="minorEastAsia" w:eastAsiaTheme="minorEastAsia"/>
          <w:b/>
          <w:color w:val="auto"/>
          <w:sz w:val="32"/>
          <w:highlight w:val="none"/>
          <w:u w:val="single"/>
        </w:rPr>
        <w:t xml:space="preserve">                  </w:t>
      </w:r>
    </w:p>
    <w:p w14:paraId="18D78C32">
      <w:pPr>
        <w:tabs>
          <w:tab w:val="left" w:pos="2410"/>
        </w:tabs>
        <w:autoSpaceDE w:val="0"/>
        <w:autoSpaceDN w:val="0"/>
        <w:adjustRightInd w:val="0"/>
        <w:snapToGrid w:val="0"/>
        <w:spacing w:line="360" w:lineRule="auto"/>
        <w:ind w:firstLine="643" w:firstLineChars="200"/>
        <w:rPr>
          <w:rFonts w:hint="eastAsia" w:asciiTheme="minorEastAsia" w:hAnsiTheme="minorEastAsia" w:eastAsiaTheme="minorEastAsia"/>
          <w:b/>
          <w:color w:val="auto"/>
          <w:sz w:val="32"/>
          <w:highlight w:val="none"/>
          <w:u w:val="single"/>
        </w:rPr>
      </w:pPr>
      <w:r>
        <w:rPr>
          <w:rFonts w:hint="eastAsia" w:asciiTheme="minorEastAsia" w:hAnsiTheme="minorEastAsia" w:eastAsiaTheme="minorEastAsia"/>
          <w:b/>
          <w:color w:val="auto"/>
          <w:sz w:val="32"/>
          <w:highlight w:val="none"/>
        </w:rPr>
        <w:t>项目编号：</w:t>
      </w:r>
      <w:r>
        <w:rPr>
          <w:rFonts w:hint="eastAsia" w:asciiTheme="minorEastAsia" w:hAnsiTheme="minorEastAsia" w:eastAsiaTheme="minorEastAsia"/>
          <w:b/>
          <w:color w:val="auto"/>
          <w:sz w:val="32"/>
          <w:highlight w:val="none"/>
          <w:u w:val="single"/>
        </w:rPr>
        <w:t xml:space="preserve">                  </w:t>
      </w:r>
    </w:p>
    <w:p w14:paraId="202A1450">
      <w:pPr>
        <w:tabs>
          <w:tab w:val="left" w:pos="2410"/>
        </w:tabs>
        <w:autoSpaceDE w:val="0"/>
        <w:autoSpaceDN w:val="0"/>
        <w:adjustRightInd w:val="0"/>
        <w:snapToGrid w:val="0"/>
        <w:spacing w:line="360" w:lineRule="auto"/>
        <w:ind w:firstLine="643" w:firstLineChars="200"/>
        <w:rPr>
          <w:rFonts w:hint="eastAsia" w:asciiTheme="minorEastAsia" w:hAnsiTheme="minorEastAsia" w:eastAsiaTheme="minorEastAsia"/>
          <w:b/>
          <w:color w:val="auto"/>
          <w:sz w:val="32"/>
          <w:highlight w:val="none"/>
          <w:u w:val="single"/>
        </w:rPr>
      </w:pPr>
      <w:r>
        <w:rPr>
          <w:rFonts w:hint="eastAsia" w:asciiTheme="minorEastAsia" w:hAnsiTheme="minorEastAsia" w:eastAsiaTheme="minorEastAsia"/>
          <w:b/>
          <w:color w:val="auto"/>
          <w:sz w:val="32"/>
          <w:highlight w:val="none"/>
        </w:rPr>
        <w:t>投 标 人：</w:t>
      </w:r>
      <w:r>
        <w:rPr>
          <w:rFonts w:hint="eastAsia" w:asciiTheme="minorEastAsia" w:hAnsiTheme="minorEastAsia" w:eastAsiaTheme="minorEastAsia"/>
          <w:b/>
          <w:color w:val="auto"/>
          <w:sz w:val="32"/>
          <w:highlight w:val="none"/>
          <w:u w:val="single"/>
        </w:rPr>
        <w:t xml:space="preserve">                  </w:t>
      </w:r>
    </w:p>
    <w:p w14:paraId="0959FE3F">
      <w:pPr>
        <w:spacing w:after="120" w:afterLines="50" w:line="500" w:lineRule="exact"/>
        <w:jc w:val="center"/>
        <w:rPr>
          <w:rFonts w:hint="eastAsia" w:asciiTheme="minorEastAsia" w:hAnsiTheme="minorEastAsia" w:eastAsiaTheme="minorEastAsia"/>
          <w:b/>
          <w:color w:val="auto"/>
          <w:sz w:val="32"/>
          <w:highlight w:val="none"/>
        </w:rPr>
      </w:pPr>
      <w:r>
        <w:rPr>
          <w:rFonts w:hint="eastAsia" w:asciiTheme="minorEastAsia" w:hAnsiTheme="minorEastAsia" w:eastAsiaTheme="minorEastAsia"/>
          <w:b/>
          <w:color w:val="auto"/>
          <w:sz w:val="32"/>
          <w:highlight w:val="none"/>
          <w:u w:val="single"/>
        </w:rPr>
        <w:t xml:space="preserve">  </w:t>
      </w:r>
      <w:bookmarkStart w:id="68" w:name="_Toc9994"/>
      <w:bookmarkStart w:id="69" w:name="_Toc8037"/>
      <w:r>
        <w:rPr>
          <w:rFonts w:hint="eastAsia" w:asciiTheme="minorEastAsia" w:hAnsiTheme="minorEastAsia" w:eastAsiaTheme="minorEastAsia"/>
          <w:b/>
          <w:color w:val="auto"/>
          <w:sz w:val="32"/>
          <w:highlight w:val="none"/>
        </w:rPr>
        <w:t>年</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rPr>
        <w:t>月</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rPr>
        <w:t>日</w:t>
      </w:r>
      <w:bookmarkEnd w:id="68"/>
      <w:bookmarkEnd w:id="69"/>
    </w:p>
    <w:p w14:paraId="5C7B630E">
      <w:pPr>
        <w:widowControl/>
        <w:jc w:val="left"/>
        <w:rPr>
          <w:rFonts w:hint="eastAsia" w:asciiTheme="minorEastAsia" w:hAnsiTheme="minorEastAsia" w:eastAsiaTheme="minorEastAsia"/>
          <w:b/>
          <w:color w:val="auto"/>
          <w:sz w:val="28"/>
          <w:highlight w:val="none"/>
        </w:rPr>
      </w:pPr>
      <w:r>
        <w:rPr>
          <w:rFonts w:asciiTheme="minorEastAsia" w:hAnsiTheme="minorEastAsia" w:eastAsiaTheme="minorEastAsia"/>
          <w:b/>
          <w:color w:val="auto"/>
          <w:sz w:val="28"/>
          <w:highlight w:val="none"/>
        </w:rPr>
        <w:br w:type="page"/>
      </w:r>
    </w:p>
    <w:p w14:paraId="04940012">
      <w:pPr>
        <w:spacing w:line="360" w:lineRule="auto"/>
        <w:jc w:val="center"/>
        <w:outlineLvl w:val="1"/>
        <w:rPr>
          <w:rFonts w:hint="eastAsia" w:asciiTheme="minorEastAsia" w:hAnsiTheme="minorEastAsia" w:eastAsiaTheme="minorEastAsia"/>
          <w:b/>
          <w:color w:val="auto"/>
          <w:sz w:val="24"/>
          <w:highlight w:val="none"/>
        </w:rPr>
      </w:pPr>
      <w:bookmarkStart w:id="70" w:name="_Toc28960"/>
      <w:bookmarkStart w:id="71" w:name="_Toc221656368"/>
      <w:bookmarkStart w:id="72" w:name="_Toc5555"/>
      <w:r>
        <w:rPr>
          <w:rFonts w:hint="eastAsia" w:asciiTheme="minorEastAsia" w:hAnsiTheme="minorEastAsia" w:eastAsiaTheme="minorEastAsia"/>
          <w:b/>
          <w:color w:val="auto"/>
          <w:sz w:val="24"/>
          <w:highlight w:val="none"/>
        </w:rPr>
        <w:t>一、开标一览表</w:t>
      </w:r>
      <w:bookmarkEnd w:id="70"/>
      <w:bookmarkEnd w:id="71"/>
      <w:bookmarkEnd w:id="72"/>
    </w:p>
    <w:tbl>
      <w:tblPr>
        <w:tblStyle w:val="25"/>
        <w:tblW w:w="93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27"/>
        <w:gridCol w:w="6818"/>
      </w:tblGrid>
      <w:tr w14:paraId="2BE2B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5" w:hRule="atLeast"/>
          <w:jc w:val="center"/>
        </w:trPr>
        <w:tc>
          <w:tcPr>
            <w:tcW w:w="2527" w:type="dxa"/>
            <w:tcBorders>
              <w:top w:val="single" w:color="auto" w:sz="4" w:space="0"/>
              <w:bottom w:val="single" w:color="auto" w:sz="4" w:space="0"/>
              <w:right w:val="single" w:color="auto" w:sz="4" w:space="0"/>
            </w:tcBorders>
            <w:vAlign w:val="center"/>
          </w:tcPr>
          <w:p w14:paraId="3CD36497">
            <w:pPr>
              <w:widowControl/>
              <w:spacing w:line="360" w:lineRule="exact"/>
              <w:jc w:val="center"/>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项目名称</w:t>
            </w:r>
          </w:p>
        </w:tc>
        <w:tc>
          <w:tcPr>
            <w:tcW w:w="6818" w:type="dxa"/>
            <w:tcBorders>
              <w:top w:val="single" w:color="auto" w:sz="4" w:space="0"/>
              <w:bottom w:val="single" w:color="auto" w:sz="4" w:space="0"/>
              <w:right w:val="single" w:color="auto" w:sz="4" w:space="0"/>
            </w:tcBorders>
            <w:vAlign w:val="center"/>
          </w:tcPr>
          <w:p w14:paraId="14C6DB96">
            <w:pPr>
              <w:spacing w:line="360" w:lineRule="exact"/>
              <w:jc w:val="center"/>
              <w:rPr>
                <w:rFonts w:hint="eastAsia" w:asciiTheme="minorEastAsia" w:hAnsiTheme="minorEastAsia" w:eastAsiaTheme="minorEastAsia"/>
                <w:bCs/>
                <w:color w:val="auto"/>
                <w:sz w:val="24"/>
                <w:highlight w:val="none"/>
                <w:u w:val="single"/>
              </w:rPr>
            </w:pPr>
          </w:p>
        </w:tc>
      </w:tr>
      <w:tr w14:paraId="671D5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2527" w:type="dxa"/>
            <w:tcBorders>
              <w:top w:val="nil"/>
            </w:tcBorders>
            <w:vAlign w:val="center"/>
          </w:tcPr>
          <w:p w14:paraId="34A365D4">
            <w:pPr>
              <w:spacing w:line="360" w:lineRule="exact"/>
              <w:jc w:val="center"/>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投标人全称</w:t>
            </w:r>
          </w:p>
        </w:tc>
        <w:tc>
          <w:tcPr>
            <w:tcW w:w="6818" w:type="dxa"/>
            <w:tcBorders>
              <w:top w:val="nil"/>
            </w:tcBorders>
            <w:vAlign w:val="center"/>
          </w:tcPr>
          <w:p w14:paraId="7B8637F3">
            <w:pPr>
              <w:spacing w:line="360" w:lineRule="auto"/>
              <w:rPr>
                <w:rFonts w:hint="eastAsia" w:asciiTheme="minorEastAsia" w:hAnsiTheme="minorEastAsia" w:eastAsiaTheme="minorEastAsia"/>
                <w:color w:val="auto"/>
                <w:sz w:val="24"/>
                <w:highlight w:val="none"/>
              </w:rPr>
            </w:pPr>
          </w:p>
        </w:tc>
      </w:tr>
      <w:tr w14:paraId="1FD6A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2527" w:type="dxa"/>
            <w:tcBorders>
              <w:top w:val="nil"/>
            </w:tcBorders>
            <w:vAlign w:val="center"/>
          </w:tcPr>
          <w:p w14:paraId="6CE4FBC6">
            <w:pPr>
              <w:spacing w:line="360" w:lineRule="exact"/>
              <w:jc w:val="center"/>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投标范围</w:t>
            </w:r>
          </w:p>
        </w:tc>
        <w:tc>
          <w:tcPr>
            <w:tcW w:w="6818" w:type="dxa"/>
            <w:tcBorders>
              <w:top w:val="nil"/>
            </w:tcBorders>
            <w:vAlign w:val="center"/>
          </w:tcPr>
          <w:p w14:paraId="279BD211">
            <w:pPr>
              <w:widowControl/>
              <w:spacing w:line="360" w:lineRule="auto"/>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szCs w:val="28"/>
                <w:highlight w:val="none"/>
              </w:rPr>
              <w:t>第</w:t>
            </w:r>
            <w:r>
              <w:rPr>
                <w:rFonts w:hint="eastAsia" w:asciiTheme="minorEastAsia" w:hAnsiTheme="minorEastAsia" w:eastAsiaTheme="minorEastAsia"/>
                <w:color w:val="auto"/>
                <w:sz w:val="24"/>
                <w:szCs w:val="28"/>
                <w:highlight w:val="none"/>
                <w:u w:val="single"/>
              </w:rPr>
              <w:t xml:space="preserve">    </w:t>
            </w:r>
            <w:r>
              <w:rPr>
                <w:rFonts w:hint="eastAsia" w:asciiTheme="minorEastAsia" w:hAnsiTheme="minorEastAsia" w:eastAsiaTheme="minorEastAsia"/>
                <w:color w:val="auto"/>
                <w:sz w:val="24"/>
                <w:szCs w:val="28"/>
                <w:highlight w:val="none"/>
              </w:rPr>
              <w:t>包</w:t>
            </w:r>
          </w:p>
        </w:tc>
      </w:tr>
      <w:tr w14:paraId="659AD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2527" w:type="dxa"/>
            <w:tcBorders>
              <w:top w:val="nil"/>
            </w:tcBorders>
            <w:vAlign w:val="center"/>
          </w:tcPr>
          <w:p w14:paraId="0917678B">
            <w:pPr>
              <w:spacing w:line="360" w:lineRule="exact"/>
              <w:jc w:val="center"/>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投标报价</w:t>
            </w:r>
          </w:p>
        </w:tc>
        <w:tc>
          <w:tcPr>
            <w:tcW w:w="6818" w:type="dxa"/>
            <w:tcBorders>
              <w:top w:val="nil"/>
            </w:tcBorders>
            <w:vAlign w:val="center"/>
          </w:tcPr>
          <w:p w14:paraId="61EBFE82">
            <w:pPr>
              <w:snapToGrid w:val="0"/>
              <w:spacing w:line="360" w:lineRule="auto"/>
              <w:jc w:val="left"/>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大写（元）：</w:t>
            </w:r>
            <w:r>
              <w:rPr>
                <w:rFonts w:hint="eastAsia" w:ascii="宋体" w:hAnsi="宋体" w:eastAsia="宋体" w:cs="宋体"/>
                <w:bCs/>
                <w:color w:val="auto"/>
                <w:sz w:val="24"/>
                <w:szCs w:val="24"/>
                <w:highlight w:val="none"/>
                <w:u w:val="single"/>
              </w:rPr>
              <w:t xml:space="preserve">                     </w:t>
            </w:r>
          </w:p>
          <w:p w14:paraId="358FB837">
            <w:pPr>
              <w:spacing w:line="360" w:lineRule="auto"/>
              <w:ind w:right="-670"/>
              <w:rPr>
                <w:rFonts w:hint="eastAsia" w:asciiTheme="minorEastAsia" w:hAnsiTheme="minorEastAsia" w:eastAsiaTheme="minorEastAsia"/>
                <w:color w:val="auto"/>
                <w:sz w:val="24"/>
                <w:highlight w:val="none"/>
              </w:rPr>
            </w:pPr>
            <w:r>
              <w:rPr>
                <w:rFonts w:hint="eastAsia" w:ascii="宋体" w:hAnsi="宋体" w:eastAsia="宋体" w:cs="宋体"/>
                <w:bCs/>
                <w:color w:val="auto"/>
                <w:sz w:val="24"/>
                <w:szCs w:val="24"/>
                <w:highlight w:val="none"/>
              </w:rPr>
              <w:t>小写（元）：</w:t>
            </w:r>
            <w:r>
              <w:rPr>
                <w:rFonts w:hint="eastAsia" w:ascii="宋体" w:hAnsi="宋体" w:eastAsia="宋体" w:cs="宋体"/>
                <w:bCs/>
                <w:color w:val="auto"/>
                <w:sz w:val="24"/>
                <w:szCs w:val="24"/>
                <w:highlight w:val="none"/>
                <w:u w:val="single"/>
              </w:rPr>
              <w:t xml:space="preserve">                     </w:t>
            </w:r>
          </w:p>
        </w:tc>
      </w:tr>
      <w:tr w14:paraId="36FD0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10" w:hRule="atLeast"/>
          <w:jc w:val="center"/>
        </w:trPr>
        <w:tc>
          <w:tcPr>
            <w:tcW w:w="2527" w:type="dxa"/>
            <w:tcBorders>
              <w:top w:val="nil"/>
            </w:tcBorders>
            <w:vAlign w:val="center"/>
          </w:tcPr>
          <w:p w14:paraId="00BEC1B2">
            <w:pPr>
              <w:spacing w:line="360" w:lineRule="auto"/>
              <w:jc w:val="center"/>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其他</w:t>
            </w:r>
          </w:p>
        </w:tc>
        <w:tc>
          <w:tcPr>
            <w:tcW w:w="6818" w:type="dxa"/>
            <w:tcBorders>
              <w:top w:val="nil"/>
            </w:tcBorders>
            <w:vAlign w:val="center"/>
          </w:tcPr>
          <w:p w14:paraId="311969CF">
            <w:pPr>
              <w:spacing w:line="360" w:lineRule="auto"/>
              <w:jc w:val="left"/>
              <w:rPr>
                <w:rFonts w:hint="eastAsia" w:asciiTheme="minorEastAsia" w:hAnsiTheme="minorEastAsia" w:eastAsiaTheme="minorEastAsia"/>
                <w:color w:val="auto"/>
                <w:sz w:val="24"/>
                <w:szCs w:val="28"/>
                <w:highlight w:val="none"/>
              </w:rPr>
            </w:pPr>
          </w:p>
        </w:tc>
      </w:tr>
    </w:tbl>
    <w:p w14:paraId="2320B5DA">
      <w:pPr>
        <w:spacing w:line="360" w:lineRule="auto"/>
        <w:ind w:firstLine="4320" w:firstLineChars="1800"/>
        <w:jc w:val="center"/>
        <w:rPr>
          <w:rFonts w:hint="eastAsia" w:asciiTheme="minorEastAsia" w:hAnsiTheme="minorEastAsia" w:eastAsiaTheme="minorEastAsia"/>
          <w:bCs/>
          <w:color w:val="auto"/>
          <w:sz w:val="24"/>
          <w:highlight w:val="none"/>
        </w:rPr>
      </w:pPr>
    </w:p>
    <w:p w14:paraId="38ED352D">
      <w:pPr>
        <w:spacing w:line="360" w:lineRule="auto"/>
        <w:ind w:firstLine="4320" w:firstLineChars="1800"/>
        <w:jc w:val="center"/>
        <w:rPr>
          <w:rFonts w:hint="eastAsia" w:asciiTheme="minorEastAsia" w:hAnsiTheme="minorEastAsia" w:eastAsiaTheme="minorEastAsia"/>
          <w:bCs/>
          <w:color w:val="auto"/>
          <w:sz w:val="24"/>
          <w:highlight w:val="none"/>
          <w:u w:val="single"/>
        </w:rPr>
      </w:pPr>
      <w:r>
        <w:rPr>
          <w:rFonts w:hint="eastAsia" w:asciiTheme="minorEastAsia" w:hAnsiTheme="minorEastAsia" w:eastAsiaTheme="minorEastAsia"/>
          <w:bCs/>
          <w:color w:val="auto"/>
          <w:sz w:val="24"/>
          <w:highlight w:val="none"/>
        </w:rPr>
        <w:t>投标人电子签章：</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p>
    <w:p w14:paraId="7F1DD609">
      <w:pPr>
        <w:spacing w:line="360" w:lineRule="auto"/>
        <w:ind w:firstLine="4320" w:firstLineChars="1800"/>
        <w:jc w:val="center"/>
        <w:rPr>
          <w:rFonts w:hint="eastAsia"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日          期：</w:t>
      </w:r>
      <w:r>
        <w:rPr>
          <w:rFonts w:hint="eastAsia" w:asciiTheme="minorEastAsia" w:hAnsiTheme="minorEastAsia" w:eastAsiaTheme="minorEastAsia"/>
          <w:bCs/>
          <w:color w:val="auto"/>
          <w:sz w:val="24"/>
          <w:highlight w:val="none"/>
          <w:u w:val="single"/>
        </w:rPr>
        <w:t xml:space="preserve">             </w:t>
      </w:r>
    </w:p>
    <w:p w14:paraId="36A91D8B">
      <w:pPr>
        <w:spacing w:line="360" w:lineRule="auto"/>
        <w:rPr>
          <w:rFonts w:hint="eastAsia"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 xml:space="preserve">     </w:t>
      </w:r>
    </w:p>
    <w:p w14:paraId="10DF2428">
      <w:pPr>
        <w:spacing w:line="360" w:lineRule="auto"/>
        <w:ind w:firstLine="360" w:firstLineChars="150"/>
        <w:rPr>
          <w:rFonts w:hint="eastAsia" w:asciiTheme="minorEastAsia" w:hAnsiTheme="minorEastAsia" w:eastAsiaTheme="minorEastAsia"/>
          <w:color w:val="auto"/>
          <w:sz w:val="24"/>
          <w:highlight w:val="none"/>
        </w:rPr>
      </w:pPr>
    </w:p>
    <w:p w14:paraId="5B7AD105">
      <w:pPr>
        <w:spacing w:line="360" w:lineRule="auto"/>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注：</w:t>
      </w:r>
    </w:p>
    <w:p w14:paraId="11B19964">
      <w:pPr>
        <w:spacing w:line="360" w:lineRule="auto"/>
        <w:ind w:firstLine="435"/>
        <w:rPr>
          <w:rFonts w:hint="eastAsia"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此表用于开标唱标之用。</w:t>
      </w:r>
    </w:p>
    <w:p w14:paraId="65564C5F">
      <w:pPr>
        <w:spacing w:line="360" w:lineRule="auto"/>
        <w:ind w:firstLine="435"/>
        <w:rPr>
          <w:rFonts w:hint="eastAsia"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表中投标报价即为优惠后报价，并作为评审及定标依据。任何有选择或有条件的投标报价，或者表中某一包别填写多个报价，均为无效报价。</w:t>
      </w:r>
    </w:p>
    <w:p w14:paraId="3ABCB772">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3.表中大写金额与小写金额不一致的，以大写金额为准。</w:t>
      </w:r>
      <w:r>
        <w:rPr>
          <w:rFonts w:asciiTheme="minorEastAsia" w:hAnsiTheme="minorEastAsia" w:eastAsiaTheme="minorEastAsia"/>
          <w:color w:val="auto"/>
          <w:sz w:val="24"/>
          <w:highlight w:val="none"/>
        </w:rPr>
        <w:br w:type="page"/>
      </w:r>
    </w:p>
    <w:p w14:paraId="74D66F92">
      <w:pPr>
        <w:spacing w:line="360" w:lineRule="auto"/>
        <w:jc w:val="center"/>
        <w:outlineLvl w:val="1"/>
        <w:rPr>
          <w:rFonts w:hint="eastAsia" w:asciiTheme="minorEastAsia" w:hAnsiTheme="minorEastAsia" w:eastAsiaTheme="minorEastAsia"/>
          <w:b/>
          <w:color w:val="auto"/>
          <w:sz w:val="24"/>
          <w:highlight w:val="none"/>
        </w:rPr>
      </w:pPr>
      <w:bookmarkStart w:id="73" w:name="_Toc18010"/>
      <w:bookmarkStart w:id="74" w:name="_Toc6441"/>
      <w:bookmarkStart w:id="75" w:name="_Toc221656369"/>
      <w:r>
        <w:rPr>
          <w:rFonts w:hint="eastAsia" w:asciiTheme="minorEastAsia" w:hAnsiTheme="minorEastAsia" w:eastAsiaTheme="minorEastAsia"/>
          <w:b/>
          <w:color w:val="auto"/>
          <w:sz w:val="24"/>
          <w:highlight w:val="none"/>
        </w:rPr>
        <w:t>二、投标函</w:t>
      </w:r>
      <w:bookmarkEnd w:id="73"/>
      <w:bookmarkEnd w:id="74"/>
      <w:bookmarkEnd w:id="75"/>
    </w:p>
    <w:p w14:paraId="6183281A">
      <w:pPr>
        <w:pStyle w:val="13"/>
        <w:spacing w:line="360" w:lineRule="auto"/>
        <w:rPr>
          <w:rFonts w:hint="eastAsia" w:ascii="宋体" w:hAnsi="宋体"/>
          <w:color w:val="auto"/>
          <w:sz w:val="24"/>
          <w:highlight w:val="none"/>
          <w:u w:val="single"/>
        </w:rPr>
      </w:pPr>
      <w:r>
        <w:rPr>
          <w:rFonts w:hint="eastAsia" w:ascii="宋体" w:hAnsi="宋体"/>
          <w:color w:val="auto"/>
          <w:sz w:val="24"/>
          <w:highlight w:val="none"/>
        </w:rPr>
        <w:t>致：</w:t>
      </w:r>
      <w:r>
        <w:rPr>
          <w:rFonts w:hint="eastAsia" w:ascii="宋体" w:hAnsi="宋体"/>
          <w:color w:val="auto"/>
          <w:sz w:val="24"/>
          <w:highlight w:val="none"/>
          <w:u w:val="single"/>
        </w:rPr>
        <w:t xml:space="preserve">   （采购人全称）</w:t>
      </w:r>
    </w:p>
    <w:p w14:paraId="7FA65538">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根据贵方的招标公告和投标邀请，我方兹宣布同意如下：</w:t>
      </w:r>
    </w:p>
    <w:p w14:paraId="2B203523">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宋体" w:hAnsi="宋体" w:eastAsia="宋体" w:cs="宋体"/>
          <w:color w:val="auto"/>
          <w:sz w:val="24"/>
          <w:szCs w:val="24"/>
          <w:highlight w:val="none"/>
        </w:rPr>
        <w:t>我方根据招标文件的规定，严格履行合同的责任和义务,并保证于买方要求的日期内完成，并通过买方验收。</w:t>
      </w:r>
    </w:p>
    <w:p w14:paraId="0DA359DB">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2.我方已详细审核全部招标文件，包括招标文件附件及更正公告（如有），我方正式认可并遵守本次招标文件，并对招标文件各项条款、规定及要求均无异议。</w:t>
      </w:r>
    </w:p>
    <w:p w14:paraId="4EBAEDBD">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3.我方同意从招标文件规定的开标日期起遵循本招标文件，并在招标文件规定的投标有效期之前均具有约束力。</w:t>
      </w:r>
    </w:p>
    <w:p w14:paraId="743F5AED">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我方声明投标文件所提供的一切资料均真实无误、及时、有效，企业运营正常。由于我方提供资料不实而造成的责任和后果由我方承担。我方同意按照贵方提出的要求，提供与投标有关的任何证据、数据或资料。</w:t>
      </w:r>
    </w:p>
    <w:p w14:paraId="3D902C2F">
      <w:pPr>
        <w:widowControl/>
        <w:spacing w:line="360" w:lineRule="auto"/>
        <w:ind w:firstLine="480" w:firstLineChars="200"/>
        <w:jc w:val="left"/>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5.我方在本项目投标过程中不存在与其他供应商文件制作机器码相同情形，否则自愿放弃本项目投标资格。</w:t>
      </w:r>
    </w:p>
    <w:p w14:paraId="5EFBEB1A">
      <w:pPr>
        <w:pStyle w:val="2"/>
        <w:rPr>
          <w:rFonts w:hint="eastAsia"/>
          <w:color w:val="auto"/>
          <w:highlight w:val="none"/>
        </w:rPr>
      </w:pPr>
    </w:p>
    <w:p w14:paraId="01773118">
      <w:pPr>
        <w:spacing w:line="360" w:lineRule="auto"/>
        <w:ind w:firstLine="4800" w:firstLineChars="2000"/>
        <w:rPr>
          <w:rFonts w:hint="eastAsia" w:ascii="宋体" w:hAnsi="宋体" w:eastAsia="宋体"/>
          <w:color w:val="auto"/>
          <w:sz w:val="24"/>
          <w:highlight w:val="none"/>
        </w:rPr>
      </w:pPr>
    </w:p>
    <w:p w14:paraId="54A327BB">
      <w:pPr>
        <w:spacing w:line="360" w:lineRule="auto"/>
        <w:ind w:firstLine="4800" w:firstLineChars="2000"/>
        <w:rPr>
          <w:rFonts w:hint="eastAsia" w:ascii="宋体" w:hAnsi="宋体" w:eastAsia="宋体"/>
          <w:color w:val="auto"/>
          <w:sz w:val="24"/>
          <w:highlight w:val="none"/>
          <w:u w:val="single"/>
        </w:rPr>
      </w:pPr>
      <w:r>
        <w:rPr>
          <w:rFonts w:hint="eastAsia" w:ascii="宋体" w:hAnsi="宋体" w:eastAsia="宋体"/>
          <w:color w:val="auto"/>
          <w:sz w:val="24"/>
          <w:highlight w:val="none"/>
        </w:rPr>
        <w:t>投标人电子签章：</w:t>
      </w:r>
      <w:r>
        <w:rPr>
          <w:rFonts w:hint="eastAsia" w:ascii="宋体" w:hAnsi="宋体" w:eastAsia="宋体"/>
          <w:color w:val="auto"/>
          <w:sz w:val="24"/>
          <w:highlight w:val="none"/>
          <w:u w:val="single"/>
        </w:rPr>
        <w:t xml:space="preserve">             </w:t>
      </w:r>
    </w:p>
    <w:p w14:paraId="12380BC0">
      <w:pPr>
        <w:spacing w:line="360" w:lineRule="auto"/>
        <w:ind w:firstLine="4800" w:firstLineChars="2000"/>
        <w:rPr>
          <w:rFonts w:hint="eastAsia" w:ascii="宋体" w:hAnsi="宋体" w:eastAsia="宋体"/>
          <w:color w:val="auto"/>
          <w:sz w:val="24"/>
          <w:highlight w:val="none"/>
          <w:u w:val="single"/>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p>
    <w:p w14:paraId="0B278963">
      <w:pPr>
        <w:pageBreakBefore/>
        <w:spacing w:line="360" w:lineRule="auto"/>
        <w:jc w:val="center"/>
        <w:outlineLvl w:val="1"/>
        <w:rPr>
          <w:rFonts w:hint="eastAsia" w:asciiTheme="minorEastAsia" w:hAnsiTheme="minorEastAsia" w:eastAsiaTheme="minorEastAsia"/>
          <w:b/>
          <w:color w:val="auto"/>
          <w:sz w:val="24"/>
          <w:highlight w:val="none"/>
        </w:rPr>
      </w:pPr>
      <w:bookmarkStart w:id="76" w:name="_Toc221656370"/>
      <w:bookmarkStart w:id="77" w:name="_Toc1328"/>
      <w:r>
        <w:rPr>
          <w:rFonts w:hint="eastAsia" w:asciiTheme="minorEastAsia" w:hAnsiTheme="minorEastAsia" w:eastAsiaTheme="minorEastAsia"/>
          <w:b/>
          <w:color w:val="auto"/>
          <w:sz w:val="24"/>
          <w:highlight w:val="none"/>
        </w:rPr>
        <w:t>三．投标人资格声明书</w:t>
      </w:r>
      <w:bookmarkEnd w:id="76"/>
      <w:bookmarkEnd w:id="77"/>
      <w:r>
        <w:rPr>
          <w:rFonts w:hint="eastAsia" w:asciiTheme="minorEastAsia" w:hAnsiTheme="minorEastAsia" w:eastAsiaTheme="minorEastAsia"/>
          <w:b/>
          <w:color w:val="auto"/>
          <w:sz w:val="24"/>
          <w:highlight w:val="none"/>
        </w:rPr>
        <w:t xml:space="preserve"> </w:t>
      </w:r>
    </w:p>
    <w:p w14:paraId="06CE5D21">
      <w:pPr>
        <w:pStyle w:val="13"/>
        <w:spacing w:line="360" w:lineRule="auto"/>
        <w:rPr>
          <w:rFonts w:hint="eastAsia" w:asciiTheme="minorEastAsia" w:hAnsiTheme="minorEastAsia" w:cstheme="minorEastAsia"/>
          <w:color w:val="auto"/>
          <w:sz w:val="24"/>
          <w:szCs w:val="24"/>
          <w:highlight w:val="none"/>
        </w:rPr>
      </w:pPr>
      <w:r>
        <w:rPr>
          <w:rFonts w:hint="eastAsia" w:ascii="宋体" w:hAnsi="宋体"/>
          <w:color w:val="auto"/>
          <w:sz w:val="24"/>
          <w:highlight w:val="none"/>
        </w:rPr>
        <w:t>致：</w:t>
      </w:r>
      <w:r>
        <w:rPr>
          <w:rFonts w:hint="eastAsia" w:ascii="宋体" w:hAnsi="宋体"/>
          <w:color w:val="auto"/>
          <w:sz w:val="24"/>
          <w:highlight w:val="none"/>
          <w:u w:val="single"/>
        </w:rPr>
        <w:t xml:space="preserve">   （采购人全称）</w:t>
      </w:r>
    </w:p>
    <w:p w14:paraId="35D77D60">
      <w:pPr>
        <w:widowControl/>
        <w:spacing w:line="360" w:lineRule="auto"/>
        <w:ind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rPr>
        <w:t>在参与本次项目投标中，我单位承诺：</w:t>
      </w:r>
    </w:p>
    <w:p w14:paraId="26F1A32B">
      <w:pPr>
        <w:widowControl/>
        <w:spacing w:line="360" w:lineRule="auto"/>
        <w:ind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rPr>
        <w:t>（一）具有良好的商业信誉和健全的财务会计制度；</w:t>
      </w:r>
    </w:p>
    <w:p w14:paraId="1F0D738D">
      <w:pPr>
        <w:widowControl/>
        <w:spacing w:line="360" w:lineRule="auto"/>
        <w:ind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rPr>
        <w:t>（二）具有履行合同所必需的设备和专业技术能力；</w:t>
      </w:r>
    </w:p>
    <w:p w14:paraId="6216B446">
      <w:pPr>
        <w:widowControl/>
        <w:spacing w:line="360" w:lineRule="auto"/>
        <w:ind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rPr>
        <w:t>（三）有依法缴纳税收和社会保障资金的良好记录；</w:t>
      </w:r>
    </w:p>
    <w:p w14:paraId="1C0EC948">
      <w:pPr>
        <w:widowControl/>
        <w:spacing w:line="360" w:lineRule="auto"/>
        <w:ind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rPr>
        <w:t>（四）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7E4C9F8D">
      <w:pPr>
        <w:widowControl/>
        <w:spacing w:line="360" w:lineRule="auto"/>
        <w:ind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rPr>
        <w:t>（五）我单位不存在为采购项目提供整体设计、规范编制或者项目管理、监理、检测等服务后，再参加该采购项目的其他采购活动的情形（单一来源采购项目除外）；</w:t>
      </w:r>
    </w:p>
    <w:p w14:paraId="5C91E09A">
      <w:pPr>
        <w:widowControl/>
        <w:spacing w:line="360" w:lineRule="auto"/>
        <w:ind w:firstLine="480" w:firstLineChars="200"/>
        <w:jc w:val="left"/>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（六）与我单位存在单位负责人为同一人或者存在直接控股、管理关系的其他法人单位信息如下（如有，不论其是否参加同一合同项下的政府采购活动均须填写）：</w:t>
      </w:r>
    </w:p>
    <w:tbl>
      <w:tblPr>
        <w:tblStyle w:val="26"/>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40"/>
        <w:gridCol w:w="2841"/>
        <w:gridCol w:w="2841"/>
      </w:tblGrid>
      <w:tr w14:paraId="106CB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636261DD">
            <w:pPr>
              <w:widowControl/>
              <w:spacing w:before="120" w:beforeLines="50" w:after="10"/>
              <w:jc w:val="center"/>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序号</w:t>
            </w:r>
          </w:p>
        </w:tc>
        <w:tc>
          <w:tcPr>
            <w:tcW w:w="2841" w:type="dxa"/>
          </w:tcPr>
          <w:p w14:paraId="50514708">
            <w:pPr>
              <w:pStyle w:val="2"/>
              <w:rPr>
                <w:rFonts w:hint="eastAsia"/>
                <w:color w:val="auto"/>
                <w:highlight w:val="none"/>
              </w:rPr>
            </w:pPr>
            <w:r>
              <w:rPr>
                <w:rFonts w:hint="eastAsia"/>
                <w:color w:val="auto"/>
                <w:highlight w:val="none"/>
              </w:rPr>
              <w:t>单位名称</w:t>
            </w:r>
          </w:p>
        </w:tc>
        <w:tc>
          <w:tcPr>
            <w:tcW w:w="2841" w:type="dxa"/>
          </w:tcPr>
          <w:p w14:paraId="591EDF63">
            <w:pPr>
              <w:pStyle w:val="2"/>
              <w:rPr>
                <w:rFonts w:hint="eastAsia"/>
                <w:color w:val="auto"/>
                <w:highlight w:val="none"/>
              </w:rPr>
            </w:pPr>
            <w:r>
              <w:rPr>
                <w:rFonts w:hint="eastAsia"/>
                <w:color w:val="auto"/>
                <w:highlight w:val="none"/>
              </w:rPr>
              <w:t>相互关系</w:t>
            </w:r>
          </w:p>
        </w:tc>
      </w:tr>
      <w:tr w14:paraId="00EA9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36E325B0">
            <w:pPr>
              <w:pStyle w:val="2"/>
              <w:rPr>
                <w:rFonts w:hint="eastAsia"/>
                <w:color w:val="auto"/>
                <w:highlight w:val="none"/>
              </w:rPr>
            </w:pPr>
            <w:r>
              <w:rPr>
                <w:rFonts w:hint="eastAsia"/>
                <w:color w:val="auto"/>
                <w:highlight w:val="none"/>
              </w:rPr>
              <w:t>1</w:t>
            </w:r>
          </w:p>
        </w:tc>
        <w:tc>
          <w:tcPr>
            <w:tcW w:w="2841" w:type="dxa"/>
          </w:tcPr>
          <w:p w14:paraId="43299F03">
            <w:pPr>
              <w:pStyle w:val="2"/>
              <w:rPr>
                <w:rFonts w:hint="eastAsia"/>
                <w:color w:val="auto"/>
                <w:highlight w:val="none"/>
              </w:rPr>
            </w:pPr>
          </w:p>
        </w:tc>
        <w:tc>
          <w:tcPr>
            <w:tcW w:w="2841" w:type="dxa"/>
          </w:tcPr>
          <w:p w14:paraId="2EC61A45">
            <w:pPr>
              <w:pStyle w:val="2"/>
              <w:rPr>
                <w:rFonts w:hint="eastAsia"/>
                <w:color w:val="auto"/>
                <w:highlight w:val="none"/>
              </w:rPr>
            </w:pPr>
          </w:p>
        </w:tc>
      </w:tr>
      <w:tr w14:paraId="69075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43A0D9A7">
            <w:pPr>
              <w:pStyle w:val="2"/>
              <w:rPr>
                <w:rFonts w:hint="eastAsia"/>
                <w:color w:val="auto"/>
                <w:highlight w:val="none"/>
              </w:rPr>
            </w:pPr>
            <w:r>
              <w:rPr>
                <w:rFonts w:hint="eastAsia"/>
                <w:color w:val="auto"/>
                <w:highlight w:val="none"/>
              </w:rPr>
              <w:t>2</w:t>
            </w:r>
          </w:p>
        </w:tc>
        <w:tc>
          <w:tcPr>
            <w:tcW w:w="2841" w:type="dxa"/>
          </w:tcPr>
          <w:p w14:paraId="0CCAB73C">
            <w:pPr>
              <w:pStyle w:val="2"/>
              <w:rPr>
                <w:rFonts w:hint="eastAsia"/>
                <w:color w:val="auto"/>
                <w:highlight w:val="none"/>
              </w:rPr>
            </w:pPr>
          </w:p>
        </w:tc>
        <w:tc>
          <w:tcPr>
            <w:tcW w:w="2841" w:type="dxa"/>
          </w:tcPr>
          <w:p w14:paraId="57E43663">
            <w:pPr>
              <w:pStyle w:val="2"/>
              <w:rPr>
                <w:rFonts w:hint="eastAsia"/>
                <w:color w:val="auto"/>
                <w:highlight w:val="none"/>
              </w:rPr>
            </w:pPr>
          </w:p>
        </w:tc>
      </w:tr>
    </w:tbl>
    <w:p w14:paraId="5A06D513">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本单位对</w:t>
      </w:r>
      <w:r>
        <w:rPr>
          <w:rFonts w:hint="eastAsia" w:asciiTheme="minorEastAsia" w:hAnsiTheme="minorEastAsia" w:eastAsiaTheme="minorEastAsia"/>
          <w:color w:val="auto"/>
          <w:sz w:val="24"/>
          <w:highlight w:val="none"/>
        </w:rPr>
        <w:t>上述</w:t>
      </w:r>
      <w:r>
        <w:rPr>
          <w:rFonts w:hint="eastAsia" w:ascii="宋体" w:hAnsi="宋体" w:eastAsia="宋体"/>
          <w:color w:val="auto"/>
          <w:sz w:val="24"/>
          <w:highlight w:val="none"/>
        </w:rPr>
        <w:t>声明的真实性负责。如有虚假，将依法承担相应责任。</w:t>
      </w:r>
    </w:p>
    <w:p w14:paraId="53291457">
      <w:pPr>
        <w:spacing w:line="360" w:lineRule="auto"/>
        <w:ind w:firstLine="4800" w:firstLineChars="2000"/>
        <w:rPr>
          <w:rFonts w:hint="eastAsia" w:ascii="宋体" w:hAnsi="宋体" w:eastAsia="宋体"/>
          <w:color w:val="auto"/>
          <w:sz w:val="24"/>
          <w:highlight w:val="none"/>
          <w:u w:val="single"/>
        </w:rPr>
      </w:pPr>
      <w:r>
        <w:rPr>
          <w:rFonts w:hint="eastAsia" w:ascii="宋体" w:hAnsi="宋体" w:eastAsia="宋体"/>
          <w:color w:val="auto"/>
          <w:sz w:val="24"/>
          <w:highlight w:val="none"/>
        </w:rPr>
        <w:t>投标人电子签章：</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rPr>
        <w:t xml:space="preserve">    </w:t>
      </w:r>
    </w:p>
    <w:p w14:paraId="69FE30A9">
      <w:pPr>
        <w:tabs>
          <w:tab w:val="left" w:pos="630"/>
        </w:tabs>
        <w:spacing w:line="360" w:lineRule="auto"/>
        <w:ind w:firstLine="4800" w:firstLineChars="2000"/>
        <w:rPr>
          <w:rFonts w:hint="eastAsia" w:ascii="宋体" w:hAnsi="宋体" w:eastAsia="宋体"/>
          <w:color w:val="auto"/>
          <w:sz w:val="24"/>
          <w:highlight w:val="none"/>
          <w:u w:val="single"/>
        </w:rPr>
      </w:pPr>
      <w:r>
        <w:rPr>
          <w:rFonts w:hint="eastAsia" w:ascii="宋体" w:hAnsi="宋体" w:eastAsia="宋体"/>
          <w:color w:val="auto"/>
          <w:sz w:val="24"/>
          <w:highlight w:val="none"/>
        </w:rPr>
        <w:t xml:space="preserve">日     </w:t>
      </w:r>
      <w:r>
        <w:rPr>
          <w:rFonts w:ascii="宋体" w:hAnsi="宋体" w:eastAsia="宋体"/>
          <w:color w:val="auto"/>
          <w:sz w:val="24"/>
          <w:highlight w:val="none"/>
        </w:rPr>
        <w:t xml:space="preserve">    </w:t>
      </w:r>
      <w:r>
        <w:rPr>
          <w:rFonts w:hint="eastAsia" w:ascii="宋体" w:hAnsi="宋体" w:eastAsia="宋体"/>
          <w:color w:val="auto"/>
          <w:sz w:val="24"/>
          <w:highlight w:val="none"/>
        </w:rPr>
        <w:t xml:space="preserve"> 期：</w:t>
      </w:r>
      <w:r>
        <w:rPr>
          <w:rFonts w:hint="eastAsia" w:ascii="宋体" w:hAnsi="宋体" w:eastAsia="宋体"/>
          <w:color w:val="auto"/>
          <w:sz w:val="24"/>
          <w:highlight w:val="none"/>
          <w:u w:val="single"/>
        </w:rPr>
        <w:t xml:space="preserve">             </w:t>
      </w:r>
    </w:p>
    <w:p w14:paraId="579DA22D">
      <w:pPr>
        <w:pStyle w:val="2"/>
        <w:rPr>
          <w:rFonts w:hint="eastAsia"/>
          <w:color w:val="auto"/>
          <w:highlight w:val="none"/>
        </w:rPr>
      </w:pPr>
    </w:p>
    <w:p w14:paraId="55638FEF">
      <w:pPr>
        <w:pStyle w:val="2"/>
        <w:rPr>
          <w:rFonts w:hint="eastAsia"/>
          <w:color w:val="auto"/>
          <w:highlight w:val="none"/>
        </w:rPr>
      </w:pPr>
    </w:p>
    <w:p w14:paraId="679599C4">
      <w:pPr>
        <w:pStyle w:val="2"/>
        <w:rPr>
          <w:rFonts w:hint="eastAsia"/>
          <w:color w:val="auto"/>
          <w:highlight w:val="none"/>
        </w:rPr>
      </w:pPr>
    </w:p>
    <w:p w14:paraId="7138DB27">
      <w:pPr>
        <w:rPr>
          <w:rFonts w:hint="eastAsia" w:asciiTheme="minorEastAsia" w:hAnsiTheme="minorEastAsia" w:eastAsiaTheme="minorEastAsia"/>
          <w:b/>
          <w:color w:val="auto"/>
          <w:sz w:val="24"/>
          <w:highlight w:val="none"/>
        </w:rPr>
      </w:pPr>
      <w:bookmarkStart w:id="78" w:name="_Toc11607"/>
      <w:r>
        <w:rPr>
          <w:rFonts w:hint="eastAsia" w:asciiTheme="minorEastAsia" w:hAnsiTheme="minorEastAsia" w:eastAsiaTheme="minorEastAsia"/>
          <w:b/>
          <w:color w:val="auto"/>
          <w:sz w:val="24"/>
          <w:highlight w:val="none"/>
        </w:rPr>
        <w:br w:type="page"/>
      </w:r>
    </w:p>
    <w:p w14:paraId="2D3C570A">
      <w:pPr>
        <w:spacing w:line="360" w:lineRule="auto"/>
        <w:jc w:val="center"/>
        <w:outlineLvl w:val="1"/>
        <w:rPr>
          <w:rFonts w:hint="eastAsia" w:asciiTheme="minorEastAsia" w:hAnsiTheme="minorEastAsia" w:eastAsiaTheme="minorEastAsia"/>
          <w:b/>
          <w:color w:val="auto"/>
          <w:sz w:val="24"/>
          <w:highlight w:val="none"/>
        </w:rPr>
      </w:pPr>
      <w:bookmarkStart w:id="79" w:name="_Toc16960"/>
      <w:bookmarkStart w:id="80" w:name="_Toc221656371"/>
      <w:r>
        <w:rPr>
          <w:rFonts w:hint="eastAsia" w:asciiTheme="minorEastAsia" w:hAnsiTheme="minorEastAsia" w:eastAsiaTheme="minorEastAsia"/>
          <w:b/>
          <w:color w:val="auto"/>
          <w:sz w:val="24"/>
          <w:highlight w:val="none"/>
        </w:rPr>
        <w:t>四、授权书</w:t>
      </w:r>
      <w:bookmarkEnd w:id="78"/>
      <w:bookmarkEnd w:id="79"/>
      <w:bookmarkEnd w:id="80"/>
    </w:p>
    <w:p w14:paraId="7EE3D573">
      <w:pPr>
        <w:pStyle w:val="12"/>
        <w:snapToGrid w:val="0"/>
        <w:spacing w:line="360" w:lineRule="auto"/>
        <w:ind w:firstLine="480" w:firstLineChars="200"/>
        <w:jc w:val="left"/>
        <w:rPr>
          <w:rFonts w:hint="eastAsia" w:hAnsi="宋体" w:eastAsia="宋体"/>
          <w:color w:val="auto"/>
          <w:sz w:val="24"/>
          <w:szCs w:val="28"/>
          <w:highlight w:val="none"/>
        </w:rPr>
      </w:pPr>
    </w:p>
    <w:p w14:paraId="05808D2C">
      <w:pPr>
        <w:spacing w:line="360" w:lineRule="auto"/>
        <w:ind w:firstLine="435"/>
        <w:rPr>
          <w:rFonts w:hint="eastAsia" w:hAnsi="宋体" w:eastAsia="宋体"/>
          <w:color w:val="auto"/>
          <w:sz w:val="24"/>
          <w:szCs w:val="28"/>
          <w:highlight w:val="none"/>
        </w:rPr>
      </w:pPr>
      <w:r>
        <w:rPr>
          <w:rFonts w:hint="eastAsia" w:hAnsi="宋体" w:eastAsia="宋体"/>
          <w:color w:val="auto"/>
          <w:sz w:val="24"/>
          <w:szCs w:val="28"/>
          <w:highlight w:val="none"/>
        </w:rPr>
        <w:t>本</w:t>
      </w:r>
      <w:r>
        <w:rPr>
          <w:rFonts w:hint="eastAsia" w:asciiTheme="minorEastAsia" w:hAnsiTheme="minorEastAsia" w:eastAsiaTheme="minorEastAsia"/>
          <w:color w:val="auto"/>
          <w:sz w:val="24"/>
          <w:highlight w:val="none"/>
        </w:rPr>
        <w:t>授权</w:t>
      </w:r>
      <w:r>
        <w:rPr>
          <w:rFonts w:hint="eastAsia" w:hAnsi="宋体" w:eastAsia="宋体"/>
          <w:color w:val="auto"/>
          <w:sz w:val="24"/>
          <w:szCs w:val="28"/>
          <w:highlight w:val="none"/>
        </w:rPr>
        <w:t>书声明：</w:t>
      </w:r>
      <w:r>
        <w:rPr>
          <w:rFonts w:hint="eastAsia" w:hAnsi="宋体" w:eastAsia="宋体"/>
          <w:color w:val="auto"/>
          <w:sz w:val="24"/>
          <w:szCs w:val="28"/>
          <w:highlight w:val="none"/>
          <w:u w:val="single"/>
        </w:rPr>
        <w:t xml:space="preserve">           </w:t>
      </w:r>
      <w:r>
        <w:rPr>
          <w:rFonts w:hint="eastAsia" w:hAnsi="宋体" w:eastAsia="宋体"/>
          <w:color w:val="auto"/>
          <w:sz w:val="24"/>
          <w:szCs w:val="28"/>
          <w:highlight w:val="none"/>
        </w:rPr>
        <w:t>（投标人名称）授权</w:t>
      </w:r>
      <w:r>
        <w:rPr>
          <w:rFonts w:hint="eastAsia" w:hAnsi="宋体" w:eastAsia="宋体"/>
          <w:color w:val="auto"/>
          <w:sz w:val="24"/>
          <w:szCs w:val="28"/>
          <w:highlight w:val="none"/>
          <w:u w:val="single"/>
        </w:rPr>
        <w:t xml:space="preserve">       </w:t>
      </w:r>
      <w:r>
        <w:rPr>
          <w:rFonts w:hint="eastAsia" w:hAnsi="宋体" w:eastAsia="宋体"/>
          <w:color w:val="auto"/>
          <w:sz w:val="24"/>
          <w:szCs w:val="28"/>
          <w:highlight w:val="none"/>
        </w:rPr>
        <w:t>（投标人授权代表姓名）代表我方参加本项目</w:t>
      </w:r>
      <w:r>
        <w:rPr>
          <w:rFonts w:hint="eastAsia" w:hAnsi="宋体" w:eastAsia="宋体"/>
          <w:bCs/>
          <w:color w:val="auto"/>
          <w:sz w:val="24"/>
          <w:szCs w:val="28"/>
          <w:highlight w:val="none"/>
        </w:rPr>
        <w:t>采购活动</w:t>
      </w:r>
      <w:r>
        <w:rPr>
          <w:rFonts w:hint="eastAsia" w:hAnsi="宋体" w:eastAsia="宋体"/>
          <w:color w:val="auto"/>
          <w:sz w:val="24"/>
          <w:szCs w:val="28"/>
          <w:highlight w:val="none"/>
        </w:rPr>
        <w:t>，全权代表我方处理投标过程的一切事宜，包括但不限于：投标、参与开标、谈判、签约等。投标人授权代表在投标过程中所签署的一切文件和处理与之有关的一切事务，我方均予以认可并对此承担责任。投标人授权代表无转委托权。特此授权。</w:t>
      </w:r>
    </w:p>
    <w:p w14:paraId="2FB49625">
      <w:pPr>
        <w:spacing w:line="360" w:lineRule="auto"/>
        <w:ind w:firstLine="435"/>
        <w:rPr>
          <w:rFonts w:hint="eastAsia" w:hAnsi="宋体" w:eastAsia="宋体"/>
          <w:color w:val="auto"/>
          <w:sz w:val="24"/>
          <w:szCs w:val="28"/>
          <w:highlight w:val="none"/>
        </w:rPr>
      </w:pPr>
      <w:r>
        <w:rPr>
          <w:rFonts w:hint="eastAsia" w:hAnsi="宋体" w:eastAsia="宋体"/>
          <w:color w:val="auto"/>
          <w:sz w:val="24"/>
          <w:szCs w:val="28"/>
          <w:highlight w:val="none"/>
        </w:rPr>
        <w:t>本授权书自出具之日起生效。</w:t>
      </w:r>
    </w:p>
    <w:p w14:paraId="3DF0D605">
      <w:pPr>
        <w:spacing w:line="360" w:lineRule="auto"/>
        <w:ind w:firstLine="435"/>
        <w:rPr>
          <w:rFonts w:hint="eastAsia" w:hAnsi="宋体" w:eastAsia="宋体"/>
          <w:color w:val="auto"/>
          <w:sz w:val="24"/>
          <w:highlight w:val="none"/>
        </w:rPr>
      </w:pPr>
      <w:r>
        <w:rPr>
          <w:rFonts w:hint="eastAsia" w:hAnsi="宋体" w:eastAsia="宋体"/>
          <w:color w:val="auto"/>
          <w:sz w:val="24"/>
          <w:szCs w:val="28"/>
          <w:highlight w:val="none"/>
        </w:rPr>
        <w:t>授权</w:t>
      </w:r>
      <w:r>
        <w:rPr>
          <w:rFonts w:hint="eastAsia" w:asciiTheme="minorEastAsia" w:hAnsiTheme="minorEastAsia" w:eastAsiaTheme="minorEastAsia"/>
          <w:color w:val="auto"/>
          <w:sz w:val="24"/>
          <w:highlight w:val="none"/>
        </w:rPr>
        <w:t>代表</w:t>
      </w:r>
      <w:r>
        <w:rPr>
          <w:rFonts w:hint="eastAsia" w:hAnsi="宋体" w:eastAsia="宋体"/>
          <w:color w:val="auto"/>
          <w:sz w:val="24"/>
          <w:highlight w:val="none"/>
        </w:rPr>
        <w:t>身份证明扫描件：</w:t>
      </w:r>
    </w:p>
    <w:p w14:paraId="5B4F49B8">
      <w:pPr>
        <w:spacing w:line="360" w:lineRule="auto"/>
        <w:ind w:firstLine="435"/>
        <w:rPr>
          <w:rFonts w:hint="eastAsia" w:asciiTheme="minorEastAsia" w:hAnsiTheme="minorEastAsia" w:eastAsiaTheme="minorEastAsia"/>
          <w:color w:val="auto"/>
          <w:sz w:val="24"/>
          <w:highlight w:val="none"/>
        </w:rPr>
      </w:pPr>
    </w:p>
    <w:p w14:paraId="0BCBF1C3">
      <w:pPr>
        <w:spacing w:line="360" w:lineRule="auto"/>
        <w:ind w:firstLine="435"/>
        <w:rPr>
          <w:rFonts w:hint="eastAsia" w:asciiTheme="minorEastAsia" w:hAnsiTheme="minorEastAsia" w:eastAsiaTheme="minorEastAsia"/>
          <w:color w:val="auto"/>
          <w:sz w:val="24"/>
          <w:highlight w:val="none"/>
        </w:rPr>
      </w:pPr>
    </w:p>
    <w:p w14:paraId="2A06781E">
      <w:pPr>
        <w:spacing w:line="360" w:lineRule="auto"/>
        <w:ind w:firstLine="435"/>
        <w:rPr>
          <w:rFonts w:hint="eastAsia" w:asciiTheme="minorEastAsia" w:hAnsiTheme="minorEastAsia" w:eastAsiaTheme="minorEastAsia"/>
          <w:color w:val="auto"/>
          <w:sz w:val="24"/>
          <w:highlight w:val="none"/>
        </w:rPr>
      </w:pPr>
    </w:p>
    <w:p w14:paraId="553AEC2A">
      <w:pPr>
        <w:spacing w:line="360" w:lineRule="auto"/>
        <w:ind w:firstLine="435"/>
        <w:rPr>
          <w:rFonts w:hint="eastAsia" w:hAnsi="宋体" w:eastAsia="宋体"/>
          <w:color w:val="auto"/>
          <w:sz w:val="24"/>
          <w:szCs w:val="28"/>
          <w:highlight w:val="none"/>
          <w:u w:val="single"/>
          <w:lang w:val="zh-CN"/>
        </w:rPr>
      </w:pPr>
      <w:r>
        <w:rPr>
          <w:rFonts w:hint="eastAsia" w:hAnsi="宋体" w:eastAsia="宋体"/>
          <w:color w:val="auto"/>
          <w:sz w:val="24"/>
          <w:szCs w:val="28"/>
          <w:highlight w:val="none"/>
        </w:rPr>
        <w:t>授权代表联系方式：</w:t>
      </w:r>
      <w:r>
        <w:rPr>
          <w:rFonts w:hint="eastAsia" w:hAnsi="宋体" w:eastAsia="宋体"/>
          <w:color w:val="auto"/>
          <w:sz w:val="24"/>
          <w:szCs w:val="28"/>
          <w:highlight w:val="none"/>
          <w:u w:val="single"/>
        </w:rPr>
        <w:t xml:space="preserve">          （请填写手机号码）</w:t>
      </w:r>
    </w:p>
    <w:p w14:paraId="5082FC38">
      <w:pPr>
        <w:spacing w:line="360" w:lineRule="auto"/>
        <w:ind w:firstLine="435"/>
        <w:rPr>
          <w:rFonts w:hint="eastAsia" w:hAnsi="宋体" w:eastAsia="宋体"/>
          <w:color w:val="auto"/>
          <w:sz w:val="24"/>
          <w:szCs w:val="28"/>
          <w:highlight w:val="none"/>
          <w:lang w:val="zh-CN"/>
        </w:rPr>
      </w:pPr>
    </w:p>
    <w:p w14:paraId="4C12DEF0">
      <w:pPr>
        <w:spacing w:line="360" w:lineRule="auto"/>
        <w:ind w:firstLine="435"/>
        <w:rPr>
          <w:rFonts w:hint="eastAsia" w:ascii="宋体" w:hAnsi="宋体" w:eastAsia="宋体"/>
          <w:color w:val="auto"/>
          <w:sz w:val="24"/>
          <w:szCs w:val="28"/>
          <w:highlight w:val="none"/>
        </w:rPr>
      </w:pPr>
      <w:r>
        <w:rPr>
          <w:rFonts w:hint="eastAsia" w:asciiTheme="minorEastAsia" w:hAnsiTheme="minorEastAsia" w:eastAsiaTheme="minorEastAsia"/>
          <w:color w:val="auto"/>
          <w:sz w:val="24"/>
          <w:highlight w:val="none"/>
        </w:rPr>
        <w:t>特此</w:t>
      </w:r>
      <w:r>
        <w:rPr>
          <w:rFonts w:hint="eastAsia" w:ascii="宋体" w:hAnsi="宋体" w:eastAsia="宋体"/>
          <w:color w:val="auto"/>
          <w:sz w:val="24"/>
          <w:szCs w:val="28"/>
          <w:highlight w:val="none"/>
        </w:rPr>
        <w:t>声明。</w:t>
      </w:r>
    </w:p>
    <w:p w14:paraId="0AFF7AED">
      <w:pPr>
        <w:spacing w:line="360" w:lineRule="auto"/>
        <w:rPr>
          <w:rFonts w:hint="eastAsia" w:ascii="宋体" w:hAnsi="宋体" w:eastAsia="宋体"/>
          <w:color w:val="auto"/>
          <w:sz w:val="24"/>
          <w:szCs w:val="28"/>
          <w:highlight w:val="none"/>
        </w:rPr>
      </w:pPr>
    </w:p>
    <w:p w14:paraId="061B927E">
      <w:pPr>
        <w:spacing w:line="360" w:lineRule="auto"/>
        <w:ind w:firstLine="435"/>
        <w:jc w:val="center"/>
        <w:rPr>
          <w:rFonts w:hint="eastAsia" w:ascii="宋体" w:hAnsi="宋体" w:eastAsia="宋体"/>
          <w:bCs/>
          <w:color w:val="auto"/>
          <w:sz w:val="24"/>
          <w:szCs w:val="28"/>
          <w:highlight w:val="none"/>
        </w:rPr>
      </w:pPr>
      <w:r>
        <w:rPr>
          <w:rFonts w:hint="eastAsia" w:ascii="宋体" w:hAnsi="宋体" w:eastAsia="宋体"/>
          <w:bCs/>
          <w:color w:val="auto"/>
          <w:sz w:val="24"/>
          <w:szCs w:val="28"/>
          <w:highlight w:val="none"/>
        </w:rPr>
        <w:t xml:space="preserve">                            投标人电子签章：</w:t>
      </w:r>
      <w:r>
        <w:rPr>
          <w:rFonts w:hint="eastAsia" w:ascii="宋体" w:hAnsi="宋体" w:eastAsia="宋体"/>
          <w:bCs/>
          <w:color w:val="auto"/>
          <w:sz w:val="24"/>
          <w:szCs w:val="28"/>
          <w:highlight w:val="none"/>
          <w:u w:val="single"/>
        </w:rPr>
        <w:t xml:space="preserve">                    </w:t>
      </w:r>
    </w:p>
    <w:p w14:paraId="6ACFAEAF">
      <w:pPr>
        <w:spacing w:line="360" w:lineRule="auto"/>
        <w:ind w:firstLine="435"/>
        <w:jc w:val="center"/>
        <w:rPr>
          <w:rFonts w:hint="eastAsia" w:ascii="宋体" w:hAnsi="宋体" w:eastAsia="宋体"/>
          <w:color w:val="auto"/>
          <w:sz w:val="24"/>
          <w:szCs w:val="28"/>
          <w:highlight w:val="none"/>
        </w:rPr>
      </w:pPr>
      <w:r>
        <w:rPr>
          <w:rFonts w:hint="eastAsia" w:ascii="宋体" w:hAnsi="宋体" w:eastAsia="宋体"/>
          <w:color w:val="auto"/>
          <w:sz w:val="24"/>
          <w:szCs w:val="28"/>
          <w:highlight w:val="none"/>
        </w:rPr>
        <w:t xml:space="preserve">                            日          期：</w:t>
      </w:r>
      <w:r>
        <w:rPr>
          <w:rFonts w:hint="eastAsia" w:ascii="宋体" w:hAnsi="宋体" w:eastAsia="宋体"/>
          <w:b/>
          <w:bCs/>
          <w:color w:val="auto"/>
          <w:sz w:val="24"/>
          <w:szCs w:val="28"/>
          <w:highlight w:val="none"/>
          <w:u w:val="single"/>
        </w:rPr>
        <w:t xml:space="preserve">                    </w:t>
      </w:r>
    </w:p>
    <w:p w14:paraId="3C6D5148">
      <w:pPr>
        <w:spacing w:line="360" w:lineRule="auto"/>
        <w:ind w:firstLine="435"/>
        <w:rPr>
          <w:rFonts w:hint="eastAsia" w:asciiTheme="minorEastAsia" w:hAnsiTheme="minorEastAsia" w:eastAsiaTheme="minorEastAsia"/>
          <w:color w:val="auto"/>
          <w:sz w:val="24"/>
          <w:highlight w:val="none"/>
        </w:rPr>
      </w:pPr>
    </w:p>
    <w:p w14:paraId="48D40B9A">
      <w:pPr>
        <w:spacing w:line="360" w:lineRule="auto"/>
        <w:ind w:firstLine="435"/>
        <w:rPr>
          <w:rFonts w:hint="eastAsia" w:asciiTheme="minorEastAsia" w:hAnsiTheme="minorEastAsia" w:eastAsiaTheme="minorEastAsia"/>
          <w:color w:val="auto"/>
          <w:sz w:val="24"/>
          <w:highlight w:val="none"/>
        </w:rPr>
      </w:pPr>
    </w:p>
    <w:p w14:paraId="09CDE1A0">
      <w:pPr>
        <w:spacing w:line="360" w:lineRule="auto"/>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注：</w:t>
      </w:r>
    </w:p>
    <w:p w14:paraId="3A555FF6">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1.本项目只允许有唯一的投标人授权代表，提供身份证明扫描件；</w:t>
      </w:r>
    </w:p>
    <w:p w14:paraId="784F39FA">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2.法定代表人参加投标的无需提供授权书，提供身份证明扫描件。</w:t>
      </w:r>
    </w:p>
    <w:p w14:paraId="12703551">
      <w:pPr>
        <w:widowControl/>
        <w:jc w:val="left"/>
        <w:rPr>
          <w:rFonts w:hint="eastAsia"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br w:type="page"/>
      </w:r>
    </w:p>
    <w:p w14:paraId="75BA23E3">
      <w:pPr>
        <w:spacing w:line="360" w:lineRule="auto"/>
        <w:jc w:val="center"/>
        <w:outlineLvl w:val="1"/>
        <w:rPr>
          <w:rFonts w:hint="eastAsia" w:asciiTheme="minorEastAsia" w:hAnsiTheme="minorEastAsia" w:eastAsiaTheme="minorEastAsia"/>
          <w:b/>
          <w:color w:val="auto"/>
          <w:sz w:val="24"/>
          <w:highlight w:val="none"/>
        </w:rPr>
      </w:pPr>
      <w:bookmarkStart w:id="81" w:name="_Toc221656372"/>
      <w:bookmarkStart w:id="82" w:name="_Toc11940"/>
      <w:bookmarkStart w:id="83" w:name="_Toc20329"/>
      <w:r>
        <w:rPr>
          <w:rFonts w:hint="eastAsia" w:asciiTheme="minorEastAsia" w:hAnsiTheme="minorEastAsia" w:eastAsiaTheme="minorEastAsia"/>
          <w:b/>
          <w:color w:val="auto"/>
          <w:sz w:val="24"/>
          <w:highlight w:val="none"/>
        </w:rPr>
        <w:t>五、投标分项报价表</w:t>
      </w:r>
      <w:bookmarkEnd w:id="81"/>
    </w:p>
    <w:p w14:paraId="00FFB5E7">
      <w:pPr>
        <w:pStyle w:val="42"/>
        <w:jc w:val="left"/>
        <w:rPr>
          <w:rFonts w:hint="eastAsia" w:ascii="宋体" w:hAnsi="宋体"/>
          <w:b/>
          <w:bCs/>
          <w:color w:val="auto"/>
          <w:highlight w:val="none"/>
        </w:rPr>
      </w:pPr>
    </w:p>
    <w:tbl>
      <w:tblPr>
        <w:tblStyle w:val="2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5"/>
        <w:gridCol w:w="1451"/>
        <w:gridCol w:w="1443"/>
        <w:gridCol w:w="1442"/>
        <w:gridCol w:w="736"/>
        <w:gridCol w:w="736"/>
        <w:gridCol w:w="1033"/>
        <w:gridCol w:w="1029"/>
        <w:gridCol w:w="736"/>
      </w:tblGrid>
      <w:tr w14:paraId="0BD38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3" w:hRule="atLeast"/>
          <w:jc w:val="center"/>
        </w:trPr>
        <w:tc>
          <w:tcPr>
            <w:tcW w:w="393" w:type="pct"/>
            <w:vAlign w:val="center"/>
          </w:tcPr>
          <w:p w14:paraId="6CF20AE6">
            <w:pPr>
              <w:pStyle w:val="34"/>
              <w:ind w:firstLine="0"/>
              <w:rPr>
                <w:rFonts w:hint="eastAsia"/>
                <w:b/>
                <w:bCs/>
                <w:color w:val="auto"/>
                <w:kern w:val="2"/>
                <w:szCs w:val="20"/>
                <w:highlight w:val="none"/>
              </w:rPr>
            </w:pPr>
            <w:r>
              <w:rPr>
                <w:rFonts w:hint="eastAsia"/>
                <w:b/>
                <w:bCs/>
                <w:color w:val="auto"/>
                <w:kern w:val="2"/>
                <w:szCs w:val="20"/>
                <w:highlight w:val="none"/>
              </w:rPr>
              <w:t>序号</w:t>
            </w:r>
          </w:p>
        </w:tc>
        <w:tc>
          <w:tcPr>
            <w:tcW w:w="776" w:type="pct"/>
            <w:vAlign w:val="center"/>
          </w:tcPr>
          <w:p w14:paraId="1C990B4D">
            <w:pPr>
              <w:jc w:val="center"/>
              <w:rPr>
                <w:rFonts w:hint="eastAsia" w:ascii="宋体" w:hAnsi="宋体" w:eastAsia="宋体"/>
                <w:b/>
                <w:color w:val="auto"/>
                <w:sz w:val="24"/>
                <w:highlight w:val="none"/>
              </w:rPr>
            </w:pPr>
            <w:r>
              <w:rPr>
                <w:rFonts w:hint="eastAsia" w:ascii="宋体" w:hAnsi="宋体" w:eastAsia="宋体"/>
                <w:b/>
                <w:color w:val="auto"/>
                <w:sz w:val="24"/>
                <w:highlight w:val="none"/>
              </w:rPr>
              <w:t>货物名称</w:t>
            </w:r>
          </w:p>
        </w:tc>
        <w:tc>
          <w:tcPr>
            <w:tcW w:w="772" w:type="pct"/>
            <w:vAlign w:val="center"/>
          </w:tcPr>
          <w:p w14:paraId="36533DA6">
            <w:pPr>
              <w:jc w:val="center"/>
              <w:rPr>
                <w:rFonts w:hint="eastAsia" w:ascii="宋体" w:hAnsi="宋体" w:eastAsia="宋体"/>
                <w:b/>
                <w:color w:val="auto"/>
                <w:sz w:val="24"/>
                <w:highlight w:val="none"/>
              </w:rPr>
            </w:pPr>
            <w:r>
              <w:rPr>
                <w:rFonts w:hint="eastAsia" w:ascii="宋体" w:hAnsi="宋体" w:eastAsia="宋体"/>
                <w:b/>
                <w:color w:val="auto"/>
                <w:sz w:val="24"/>
                <w:highlight w:val="none"/>
              </w:rPr>
              <w:t>品牌、型</w:t>
            </w:r>
          </w:p>
          <w:p w14:paraId="3270D762">
            <w:pPr>
              <w:jc w:val="center"/>
              <w:rPr>
                <w:rFonts w:hint="eastAsia" w:ascii="宋体" w:hAnsi="宋体" w:eastAsia="宋体"/>
                <w:b/>
                <w:color w:val="auto"/>
                <w:sz w:val="24"/>
                <w:highlight w:val="none"/>
              </w:rPr>
            </w:pPr>
            <w:r>
              <w:rPr>
                <w:rFonts w:hint="eastAsia" w:ascii="宋体" w:hAnsi="宋体" w:eastAsia="宋体"/>
                <w:b/>
                <w:color w:val="auto"/>
                <w:sz w:val="24"/>
                <w:highlight w:val="none"/>
              </w:rPr>
              <w:t>号规格</w:t>
            </w:r>
          </w:p>
        </w:tc>
        <w:tc>
          <w:tcPr>
            <w:tcW w:w="772" w:type="pct"/>
            <w:vAlign w:val="center"/>
          </w:tcPr>
          <w:p w14:paraId="2E03886B">
            <w:pPr>
              <w:jc w:val="center"/>
              <w:rPr>
                <w:rFonts w:hint="eastAsia" w:ascii="宋体" w:hAnsi="宋体" w:eastAsia="宋体"/>
                <w:b/>
                <w:color w:val="auto"/>
                <w:sz w:val="24"/>
                <w:highlight w:val="none"/>
              </w:rPr>
            </w:pPr>
            <w:r>
              <w:rPr>
                <w:rFonts w:hint="eastAsia" w:ascii="宋体" w:hAnsi="宋体" w:eastAsia="宋体"/>
                <w:b/>
                <w:color w:val="auto"/>
                <w:sz w:val="24"/>
                <w:highlight w:val="none"/>
              </w:rPr>
              <w:t>原产地及</w:t>
            </w:r>
          </w:p>
          <w:p w14:paraId="58954517">
            <w:pPr>
              <w:jc w:val="center"/>
              <w:rPr>
                <w:rFonts w:hint="eastAsia" w:ascii="宋体" w:hAnsi="宋体" w:eastAsia="宋体"/>
                <w:b/>
                <w:color w:val="auto"/>
                <w:sz w:val="24"/>
                <w:highlight w:val="none"/>
              </w:rPr>
            </w:pPr>
            <w:r>
              <w:rPr>
                <w:rFonts w:hint="eastAsia" w:ascii="宋体" w:hAnsi="宋体" w:eastAsia="宋体"/>
                <w:b/>
                <w:color w:val="auto"/>
                <w:sz w:val="24"/>
                <w:highlight w:val="none"/>
              </w:rPr>
              <w:t>生产厂商</w:t>
            </w:r>
          </w:p>
        </w:tc>
        <w:tc>
          <w:tcPr>
            <w:tcW w:w="394" w:type="pct"/>
            <w:vAlign w:val="center"/>
          </w:tcPr>
          <w:p w14:paraId="7188637C">
            <w:pPr>
              <w:jc w:val="center"/>
              <w:rPr>
                <w:rFonts w:hint="eastAsia" w:ascii="宋体" w:hAnsi="宋体" w:eastAsia="宋体"/>
                <w:b/>
                <w:color w:val="auto"/>
                <w:sz w:val="24"/>
                <w:highlight w:val="none"/>
              </w:rPr>
            </w:pPr>
            <w:r>
              <w:rPr>
                <w:rFonts w:hint="eastAsia" w:ascii="宋体" w:hAnsi="宋体" w:eastAsia="宋体"/>
                <w:b/>
                <w:color w:val="auto"/>
                <w:sz w:val="24"/>
                <w:highlight w:val="none"/>
              </w:rPr>
              <w:t>单位</w:t>
            </w:r>
          </w:p>
        </w:tc>
        <w:tc>
          <w:tcPr>
            <w:tcW w:w="394" w:type="pct"/>
            <w:vAlign w:val="center"/>
          </w:tcPr>
          <w:p w14:paraId="185D8DFA">
            <w:pPr>
              <w:jc w:val="center"/>
              <w:rPr>
                <w:rFonts w:hint="eastAsia" w:ascii="宋体" w:hAnsi="宋体" w:eastAsia="宋体"/>
                <w:b/>
                <w:color w:val="auto"/>
                <w:sz w:val="24"/>
                <w:highlight w:val="none"/>
              </w:rPr>
            </w:pPr>
            <w:r>
              <w:rPr>
                <w:rFonts w:hint="eastAsia" w:ascii="宋体" w:hAnsi="宋体" w:eastAsia="宋体"/>
                <w:b/>
                <w:color w:val="auto"/>
                <w:sz w:val="24"/>
                <w:highlight w:val="none"/>
              </w:rPr>
              <w:t>数量</w:t>
            </w:r>
          </w:p>
        </w:tc>
        <w:tc>
          <w:tcPr>
            <w:tcW w:w="551" w:type="pct"/>
            <w:vAlign w:val="center"/>
          </w:tcPr>
          <w:p w14:paraId="581C6219">
            <w:pPr>
              <w:jc w:val="center"/>
              <w:rPr>
                <w:rFonts w:hint="eastAsia" w:ascii="宋体" w:hAnsi="宋体" w:eastAsia="宋体"/>
                <w:b/>
                <w:color w:val="auto"/>
                <w:sz w:val="24"/>
                <w:highlight w:val="none"/>
              </w:rPr>
            </w:pPr>
            <w:r>
              <w:rPr>
                <w:rFonts w:hint="eastAsia" w:ascii="宋体" w:hAnsi="宋体" w:eastAsia="宋体"/>
                <w:b/>
                <w:color w:val="auto"/>
                <w:sz w:val="24"/>
                <w:highlight w:val="none"/>
              </w:rPr>
              <w:t>单价</w:t>
            </w:r>
          </w:p>
          <w:p w14:paraId="53EC2E59">
            <w:pPr>
              <w:jc w:val="center"/>
              <w:rPr>
                <w:rFonts w:hint="eastAsia" w:ascii="宋体" w:hAnsi="宋体" w:eastAsia="宋体"/>
                <w:b/>
                <w:color w:val="auto"/>
                <w:sz w:val="24"/>
                <w:highlight w:val="none"/>
              </w:rPr>
            </w:pPr>
            <w:r>
              <w:rPr>
                <w:rFonts w:hint="eastAsia" w:ascii="宋体" w:hAnsi="宋体" w:eastAsia="宋体"/>
                <w:b/>
                <w:color w:val="auto"/>
                <w:sz w:val="24"/>
                <w:highlight w:val="none"/>
              </w:rPr>
              <w:t>（元）</w:t>
            </w:r>
          </w:p>
        </w:tc>
        <w:tc>
          <w:tcPr>
            <w:tcW w:w="551" w:type="pct"/>
            <w:vAlign w:val="center"/>
          </w:tcPr>
          <w:p w14:paraId="26BB014C">
            <w:pPr>
              <w:jc w:val="center"/>
              <w:rPr>
                <w:rFonts w:hint="eastAsia" w:ascii="宋体" w:hAnsi="宋体" w:eastAsia="宋体"/>
                <w:b/>
                <w:color w:val="auto"/>
                <w:sz w:val="24"/>
                <w:highlight w:val="none"/>
              </w:rPr>
            </w:pPr>
            <w:r>
              <w:rPr>
                <w:rFonts w:hint="eastAsia" w:ascii="宋体" w:hAnsi="宋体" w:eastAsia="宋体"/>
                <w:b/>
                <w:color w:val="auto"/>
                <w:sz w:val="24"/>
                <w:highlight w:val="none"/>
              </w:rPr>
              <w:t>小计</w:t>
            </w:r>
          </w:p>
          <w:p w14:paraId="6F2D88D6">
            <w:pPr>
              <w:jc w:val="center"/>
              <w:rPr>
                <w:rFonts w:hint="eastAsia" w:ascii="宋体" w:hAnsi="宋体" w:eastAsia="宋体"/>
                <w:b/>
                <w:color w:val="auto"/>
                <w:sz w:val="24"/>
                <w:highlight w:val="none"/>
              </w:rPr>
            </w:pPr>
            <w:r>
              <w:rPr>
                <w:rFonts w:hint="eastAsia" w:ascii="宋体" w:hAnsi="宋体" w:eastAsia="宋体"/>
                <w:b/>
                <w:color w:val="auto"/>
                <w:sz w:val="24"/>
                <w:highlight w:val="none"/>
              </w:rPr>
              <w:t>（元）</w:t>
            </w:r>
          </w:p>
        </w:tc>
        <w:tc>
          <w:tcPr>
            <w:tcW w:w="393" w:type="pct"/>
            <w:vAlign w:val="center"/>
          </w:tcPr>
          <w:p w14:paraId="40E77DD7">
            <w:pPr>
              <w:jc w:val="center"/>
              <w:rPr>
                <w:rFonts w:hint="eastAsia" w:ascii="宋体" w:hAnsi="宋体" w:eastAsia="宋体"/>
                <w:b/>
                <w:color w:val="auto"/>
                <w:sz w:val="24"/>
                <w:highlight w:val="none"/>
              </w:rPr>
            </w:pPr>
            <w:r>
              <w:rPr>
                <w:rFonts w:hint="eastAsia" w:ascii="宋体" w:hAnsi="宋体" w:eastAsia="宋体"/>
                <w:b/>
                <w:color w:val="auto"/>
                <w:sz w:val="24"/>
                <w:highlight w:val="none"/>
              </w:rPr>
              <w:t>备注</w:t>
            </w:r>
          </w:p>
        </w:tc>
      </w:tr>
      <w:tr w14:paraId="42412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393" w:type="pct"/>
            <w:tcBorders>
              <w:bottom w:val="single" w:color="auto" w:sz="4" w:space="0"/>
            </w:tcBorders>
          </w:tcPr>
          <w:p w14:paraId="4C795811">
            <w:pPr>
              <w:jc w:val="center"/>
              <w:rPr>
                <w:rFonts w:hint="eastAsia" w:ascii="宋体" w:hAnsi="宋体" w:eastAsia="宋体"/>
                <w:color w:val="auto"/>
                <w:sz w:val="24"/>
                <w:highlight w:val="none"/>
              </w:rPr>
            </w:pPr>
            <w:r>
              <w:rPr>
                <w:rFonts w:hint="eastAsia" w:ascii="宋体" w:hAnsi="宋体" w:eastAsia="宋体"/>
                <w:color w:val="auto"/>
                <w:sz w:val="24"/>
                <w:highlight w:val="none"/>
              </w:rPr>
              <w:t>1</w:t>
            </w:r>
          </w:p>
        </w:tc>
        <w:tc>
          <w:tcPr>
            <w:tcW w:w="776" w:type="pct"/>
          </w:tcPr>
          <w:p w14:paraId="663461C2">
            <w:pPr>
              <w:rPr>
                <w:rFonts w:hint="eastAsia" w:ascii="宋体" w:hAnsi="宋体" w:eastAsia="宋体"/>
                <w:color w:val="auto"/>
                <w:sz w:val="24"/>
                <w:highlight w:val="none"/>
              </w:rPr>
            </w:pPr>
          </w:p>
        </w:tc>
        <w:tc>
          <w:tcPr>
            <w:tcW w:w="772" w:type="pct"/>
          </w:tcPr>
          <w:p w14:paraId="02974AAA">
            <w:pPr>
              <w:rPr>
                <w:rFonts w:hint="eastAsia" w:ascii="宋体" w:hAnsi="宋体" w:eastAsia="宋体"/>
                <w:color w:val="auto"/>
                <w:sz w:val="24"/>
                <w:highlight w:val="none"/>
              </w:rPr>
            </w:pPr>
          </w:p>
        </w:tc>
        <w:tc>
          <w:tcPr>
            <w:tcW w:w="772" w:type="pct"/>
          </w:tcPr>
          <w:p w14:paraId="0118008D">
            <w:pPr>
              <w:rPr>
                <w:rFonts w:hint="eastAsia" w:ascii="宋体" w:hAnsi="宋体" w:eastAsia="宋体"/>
                <w:color w:val="auto"/>
                <w:sz w:val="24"/>
                <w:highlight w:val="none"/>
              </w:rPr>
            </w:pPr>
          </w:p>
        </w:tc>
        <w:tc>
          <w:tcPr>
            <w:tcW w:w="394" w:type="pct"/>
          </w:tcPr>
          <w:p w14:paraId="10D9DBD2">
            <w:pPr>
              <w:rPr>
                <w:rFonts w:hint="eastAsia" w:ascii="宋体" w:hAnsi="宋体" w:eastAsia="宋体"/>
                <w:color w:val="auto"/>
                <w:sz w:val="24"/>
                <w:highlight w:val="none"/>
              </w:rPr>
            </w:pPr>
          </w:p>
        </w:tc>
        <w:tc>
          <w:tcPr>
            <w:tcW w:w="394" w:type="pct"/>
          </w:tcPr>
          <w:p w14:paraId="10D2D36A">
            <w:pPr>
              <w:rPr>
                <w:rFonts w:hint="eastAsia" w:ascii="宋体" w:hAnsi="宋体" w:eastAsia="宋体"/>
                <w:color w:val="auto"/>
                <w:sz w:val="24"/>
                <w:highlight w:val="none"/>
              </w:rPr>
            </w:pPr>
          </w:p>
        </w:tc>
        <w:tc>
          <w:tcPr>
            <w:tcW w:w="551" w:type="pct"/>
          </w:tcPr>
          <w:p w14:paraId="03053ED8">
            <w:pPr>
              <w:rPr>
                <w:rFonts w:hint="eastAsia" w:ascii="宋体" w:hAnsi="宋体" w:eastAsia="宋体"/>
                <w:color w:val="auto"/>
                <w:sz w:val="24"/>
                <w:highlight w:val="none"/>
              </w:rPr>
            </w:pPr>
          </w:p>
        </w:tc>
        <w:tc>
          <w:tcPr>
            <w:tcW w:w="551" w:type="pct"/>
          </w:tcPr>
          <w:p w14:paraId="7B488604">
            <w:pPr>
              <w:rPr>
                <w:rFonts w:hint="eastAsia" w:ascii="宋体" w:hAnsi="宋体" w:eastAsia="宋体"/>
                <w:color w:val="auto"/>
                <w:sz w:val="24"/>
                <w:highlight w:val="none"/>
              </w:rPr>
            </w:pPr>
          </w:p>
        </w:tc>
        <w:tc>
          <w:tcPr>
            <w:tcW w:w="393" w:type="pct"/>
          </w:tcPr>
          <w:p w14:paraId="284A3788">
            <w:pPr>
              <w:rPr>
                <w:rFonts w:hint="eastAsia" w:ascii="宋体" w:hAnsi="宋体" w:eastAsia="宋体"/>
                <w:color w:val="auto"/>
                <w:sz w:val="24"/>
                <w:highlight w:val="none"/>
              </w:rPr>
            </w:pPr>
          </w:p>
        </w:tc>
      </w:tr>
      <w:tr w14:paraId="0AF52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3" w:hRule="atLeast"/>
          <w:jc w:val="center"/>
        </w:trPr>
        <w:tc>
          <w:tcPr>
            <w:tcW w:w="393" w:type="pct"/>
          </w:tcPr>
          <w:p w14:paraId="58247F14">
            <w:pPr>
              <w:jc w:val="center"/>
              <w:rPr>
                <w:rFonts w:hint="eastAsia" w:ascii="宋体" w:hAnsi="宋体" w:eastAsia="宋体"/>
                <w:color w:val="auto"/>
                <w:sz w:val="24"/>
                <w:highlight w:val="none"/>
              </w:rPr>
            </w:pPr>
            <w:r>
              <w:rPr>
                <w:rFonts w:hint="eastAsia" w:ascii="宋体" w:hAnsi="宋体" w:eastAsia="宋体"/>
                <w:color w:val="auto"/>
                <w:sz w:val="24"/>
                <w:highlight w:val="none"/>
              </w:rPr>
              <w:t>2</w:t>
            </w:r>
          </w:p>
        </w:tc>
        <w:tc>
          <w:tcPr>
            <w:tcW w:w="776" w:type="pct"/>
          </w:tcPr>
          <w:p w14:paraId="0B2C0925">
            <w:pPr>
              <w:rPr>
                <w:rFonts w:hint="eastAsia" w:ascii="宋体" w:hAnsi="宋体" w:eastAsia="宋体"/>
                <w:color w:val="auto"/>
                <w:sz w:val="24"/>
                <w:highlight w:val="none"/>
              </w:rPr>
            </w:pPr>
          </w:p>
        </w:tc>
        <w:tc>
          <w:tcPr>
            <w:tcW w:w="772" w:type="pct"/>
          </w:tcPr>
          <w:p w14:paraId="336792FB">
            <w:pPr>
              <w:rPr>
                <w:rFonts w:hint="eastAsia" w:ascii="宋体" w:hAnsi="宋体" w:eastAsia="宋体"/>
                <w:color w:val="auto"/>
                <w:sz w:val="24"/>
                <w:highlight w:val="none"/>
              </w:rPr>
            </w:pPr>
          </w:p>
        </w:tc>
        <w:tc>
          <w:tcPr>
            <w:tcW w:w="772" w:type="pct"/>
          </w:tcPr>
          <w:p w14:paraId="277E660D">
            <w:pPr>
              <w:rPr>
                <w:rFonts w:hint="eastAsia" w:ascii="宋体" w:hAnsi="宋体" w:eastAsia="宋体"/>
                <w:color w:val="auto"/>
                <w:sz w:val="24"/>
                <w:highlight w:val="none"/>
              </w:rPr>
            </w:pPr>
          </w:p>
        </w:tc>
        <w:tc>
          <w:tcPr>
            <w:tcW w:w="394" w:type="pct"/>
          </w:tcPr>
          <w:p w14:paraId="371DC369">
            <w:pPr>
              <w:rPr>
                <w:rFonts w:hint="eastAsia" w:ascii="宋体" w:hAnsi="宋体" w:eastAsia="宋体"/>
                <w:color w:val="auto"/>
                <w:sz w:val="24"/>
                <w:highlight w:val="none"/>
              </w:rPr>
            </w:pPr>
          </w:p>
        </w:tc>
        <w:tc>
          <w:tcPr>
            <w:tcW w:w="394" w:type="pct"/>
          </w:tcPr>
          <w:p w14:paraId="0BDE5FF3">
            <w:pPr>
              <w:rPr>
                <w:rFonts w:hint="eastAsia" w:ascii="宋体" w:hAnsi="宋体" w:eastAsia="宋体"/>
                <w:color w:val="auto"/>
                <w:sz w:val="24"/>
                <w:highlight w:val="none"/>
              </w:rPr>
            </w:pPr>
          </w:p>
        </w:tc>
        <w:tc>
          <w:tcPr>
            <w:tcW w:w="551" w:type="pct"/>
          </w:tcPr>
          <w:p w14:paraId="6D13A7B8">
            <w:pPr>
              <w:rPr>
                <w:rFonts w:hint="eastAsia" w:ascii="宋体" w:hAnsi="宋体" w:eastAsia="宋体"/>
                <w:color w:val="auto"/>
                <w:sz w:val="24"/>
                <w:highlight w:val="none"/>
              </w:rPr>
            </w:pPr>
          </w:p>
        </w:tc>
        <w:tc>
          <w:tcPr>
            <w:tcW w:w="551" w:type="pct"/>
          </w:tcPr>
          <w:p w14:paraId="261631C2">
            <w:pPr>
              <w:rPr>
                <w:rFonts w:hint="eastAsia" w:ascii="宋体" w:hAnsi="宋体" w:eastAsia="宋体"/>
                <w:color w:val="auto"/>
                <w:sz w:val="24"/>
                <w:highlight w:val="none"/>
              </w:rPr>
            </w:pPr>
          </w:p>
        </w:tc>
        <w:tc>
          <w:tcPr>
            <w:tcW w:w="393" w:type="pct"/>
          </w:tcPr>
          <w:p w14:paraId="3C7FB951">
            <w:pPr>
              <w:rPr>
                <w:rFonts w:hint="eastAsia" w:ascii="宋体" w:hAnsi="宋体" w:eastAsia="宋体"/>
                <w:color w:val="auto"/>
                <w:sz w:val="24"/>
                <w:highlight w:val="none"/>
              </w:rPr>
            </w:pPr>
          </w:p>
        </w:tc>
      </w:tr>
      <w:tr w14:paraId="5D744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393" w:type="pct"/>
          </w:tcPr>
          <w:p w14:paraId="7A5CDA78">
            <w:pPr>
              <w:jc w:val="center"/>
              <w:rPr>
                <w:rFonts w:hint="eastAsia" w:ascii="宋体" w:hAnsi="宋体" w:eastAsia="宋体"/>
                <w:color w:val="auto"/>
                <w:sz w:val="24"/>
                <w:highlight w:val="none"/>
              </w:rPr>
            </w:pPr>
            <w:r>
              <w:rPr>
                <w:rFonts w:hint="eastAsia" w:ascii="宋体" w:hAnsi="宋体" w:eastAsia="宋体"/>
                <w:color w:val="auto"/>
                <w:sz w:val="24"/>
                <w:highlight w:val="none"/>
              </w:rPr>
              <w:t>3</w:t>
            </w:r>
          </w:p>
        </w:tc>
        <w:tc>
          <w:tcPr>
            <w:tcW w:w="776" w:type="pct"/>
          </w:tcPr>
          <w:p w14:paraId="5736222E">
            <w:pPr>
              <w:rPr>
                <w:rFonts w:hint="eastAsia" w:ascii="宋体" w:hAnsi="宋体" w:eastAsia="宋体"/>
                <w:color w:val="auto"/>
                <w:sz w:val="24"/>
                <w:highlight w:val="none"/>
              </w:rPr>
            </w:pPr>
          </w:p>
        </w:tc>
        <w:tc>
          <w:tcPr>
            <w:tcW w:w="772" w:type="pct"/>
          </w:tcPr>
          <w:p w14:paraId="52CA30D3">
            <w:pPr>
              <w:rPr>
                <w:rFonts w:hint="eastAsia" w:ascii="宋体" w:hAnsi="宋体" w:eastAsia="宋体"/>
                <w:color w:val="auto"/>
                <w:sz w:val="24"/>
                <w:highlight w:val="none"/>
              </w:rPr>
            </w:pPr>
          </w:p>
        </w:tc>
        <w:tc>
          <w:tcPr>
            <w:tcW w:w="772" w:type="pct"/>
          </w:tcPr>
          <w:p w14:paraId="31C000FE">
            <w:pPr>
              <w:rPr>
                <w:rFonts w:hint="eastAsia" w:ascii="宋体" w:hAnsi="宋体" w:eastAsia="宋体"/>
                <w:color w:val="auto"/>
                <w:sz w:val="24"/>
                <w:highlight w:val="none"/>
              </w:rPr>
            </w:pPr>
          </w:p>
        </w:tc>
        <w:tc>
          <w:tcPr>
            <w:tcW w:w="394" w:type="pct"/>
          </w:tcPr>
          <w:p w14:paraId="2DF2F128">
            <w:pPr>
              <w:rPr>
                <w:rFonts w:hint="eastAsia" w:ascii="宋体" w:hAnsi="宋体" w:eastAsia="宋体"/>
                <w:color w:val="auto"/>
                <w:sz w:val="24"/>
                <w:highlight w:val="none"/>
              </w:rPr>
            </w:pPr>
          </w:p>
        </w:tc>
        <w:tc>
          <w:tcPr>
            <w:tcW w:w="394" w:type="pct"/>
          </w:tcPr>
          <w:p w14:paraId="5C1A600D">
            <w:pPr>
              <w:rPr>
                <w:rFonts w:hint="eastAsia" w:ascii="宋体" w:hAnsi="宋体" w:eastAsia="宋体"/>
                <w:color w:val="auto"/>
                <w:sz w:val="24"/>
                <w:highlight w:val="none"/>
              </w:rPr>
            </w:pPr>
          </w:p>
        </w:tc>
        <w:tc>
          <w:tcPr>
            <w:tcW w:w="551" w:type="pct"/>
          </w:tcPr>
          <w:p w14:paraId="7AE3A85D">
            <w:pPr>
              <w:rPr>
                <w:rFonts w:hint="eastAsia" w:ascii="宋体" w:hAnsi="宋体" w:eastAsia="宋体"/>
                <w:color w:val="auto"/>
                <w:sz w:val="24"/>
                <w:highlight w:val="none"/>
              </w:rPr>
            </w:pPr>
          </w:p>
        </w:tc>
        <w:tc>
          <w:tcPr>
            <w:tcW w:w="551" w:type="pct"/>
          </w:tcPr>
          <w:p w14:paraId="0ABEE93B">
            <w:pPr>
              <w:rPr>
                <w:rFonts w:hint="eastAsia" w:ascii="宋体" w:hAnsi="宋体" w:eastAsia="宋体"/>
                <w:color w:val="auto"/>
                <w:sz w:val="24"/>
                <w:highlight w:val="none"/>
              </w:rPr>
            </w:pPr>
          </w:p>
        </w:tc>
        <w:tc>
          <w:tcPr>
            <w:tcW w:w="393" w:type="pct"/>
          </w:tcPr>
          <w:p w14:paraId="59063035">
            <w:pPr>
              <w:rPr>
                <w:rFonts w:hint="eastAsia" w:ascii="宋体" w:hAnsi="宋体" w:eastAsia="宋体"/>
                <w:color w:val="auto"/>
                <w:sz w:val="24"/>
                <w:highlight w:val="none"/>
              </w:rPr>
            </w:pPr>
          </w:p>
        </w:tc>
      </w:tr>
      <w:tr w14:paraId="0CDA3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393" w:type="pct"/>
          </w:tcPr>
          <w:p w14:paraId="51FFD761">
            <w:pPr>
              <w:jc w:val="center"/>
              <w:rPr>
                <w:rFonts w:hint="eastAsia" w:ascii="宋体" w:hAnsi="宋体" w:eastAsia="宋体"/>
                <w:color w:val="auto"/>
                <w:sz w:val="24"/>
                <w:highlight w:val="none"/>
              </w:rPr>
            </w:pPr>
            <w:r>
              <w:rPr>
                <w:rFonts w:hint="eastAsia" w:ascii="宋体" w:hAnsi="宋体" w:eastAsia="宋体"/>
                <w:color w:val="auto"/>
                <w:sz w:val="24"/>
                <w:highlight w:val="none"/>
              </w:rPr>
              <w:t>…</w:t>
            </w:r>
          </w:p>
        </w:tc>
        <w:tc>
          <w:tcPr>
            <w:tcW w:w="776" w:type="pct"/>
          </w:tcPr>
          <w:p w14:paraId="5EF673F6">
            <w:pPr>
              <w:rPr>
                <w:rFonts w:hint="eastAsia" w:ascii="宋体" w:hAnsi="宋体" w:eastAsia="宋体"/>
                <w:color w:val="auto"/>
                <w:sz w:val="24"/>
                <w:highlight w:val="none"/>
              </w:rPr>
            </w:pPr>
          </w:p>
        </w:tc>
        <w:tc>
          <w:tcPr>
            <w:tcW w:w="772" w:type="pct"/>
          </w:tcPr>
          <w:p w14:paraId="2FCB8866">
            <w:pPr>
              <w:rPr>
                <w:rFonts w:hint="eastAsia" w:ascii="宋体" w:hAnsi="宋体" w:eastAsia="宋体"/>
                <w:color w:val="auto"/>
                <w:sz w:val="24"/>
                <w:highlight w:val="none"/>
              </w:rPr>
            </w:pPr>
          </w:p>
        </w:tc>
        <w:tc>
          <w:tcPr>
            <w:tcW w:w="772" w:type="pct"/>
          </w:tcPr>
          <w:p w14:paraId="2E3C7757">
            <w:pPr>
              <w:rPr>
                <w:rFonts w:hint="eastAsia" w:ascii="宋体" w:hAnsi="宋体" w:eastAsia="宋体"/>
                <w:color w:val="auto"/>
                <w:sz w:val="24"/>
                <w:highlight w:val="none"/>
              </w:rPr>
            </w:pPr>
          </w:p>
        </w:tc>
        <w:tc>
          <w:tcPr>
            <w:tcW w:w="394" w:type="pct"/>
          </w:tcPr>
          <w:p w14:paraId="60BB069E">
            <w:pPr>
              <w:rPr>
                <w:rFonts w:hint="eastAsia" w:ascii="宋体" w:hAnsi="宋体" w:eastAsia="宋体"/>
                <w:color w:val="auto"/>
                <w:sz w:val="24"/>
                <w:highlight w:val="none"/>
              </w:rPr>
            </w:pPr>
          </w:p>
        </w:tc>
        <w:tc>
          <w:tcPr>
            <w:tcW w:w="394" w:type="pct"/>
          </w:tcPr>
          <w:p w14:paraId="01F9B637">
            <w:pPr>
              <w:rPr>
                <w:rFonts w:hint="eastAsia" w:ascii="宋体" w:hAnsi="宋体" w:eastAsia="宋体"/>
                <w:color w:val="auto"/>
                <w:sz w:val="24"/>
                <w:highlight w:val="none"/>
              </w:rPr>
            </w:pPr>
          </w:p>
        </w:tc>
        <w:tc>
          <w:tcPr>
            <w:tcW w:w="551" w:type="pct"/>
          </w:tcPr>
          <w:p w14:paraId="63D01526">
            <w:pPr>
              <w:rPr>
                <w:rFonts w:hint="eastAsia" w:ascii="宋体" w:hAnsi="宋体" w:eastAsia="宋体"/>
                <w:color w:val="auto"/>
                <w:sz w:val="24"/>
                <w:highlight w:val="none"/>
              </w:rPr>
            </w:pPr>
          </w:p>
        </w:tc>
        <w:tc>
          <w:tcPr>
            <w:tcW w:w="551" w:type="pct"/>
          </w:tcPr>
          <w:p w14:paraId="40C84359">
            <w:pPr>
              <w:rPr>
                <w:rFonts w:hint="eastAsia" w:ascii="宋体" w:hAnsi="宋体" w:eastAsia="宋体"/>
                <w:color w:val="auto"/>
                <w:sz w:val="24"/>
                <w:highlight w:val="none"/>
              </w:rPr>
            </w:pPr>
          </w:p>
        </w:tc>
        <w:tc>
          <w:tcPr>
            <w:tcW w:w="393" w:type="pct"/>
          </w:tcPr>
          <w:p w14:paraId="5DCC976E">
            <w:pPr>
              <w:rPr>
                <w:rFonts w:hint="eastAsia" w:ascii="宋体" w:hAnsi="宋体" w:eastAsia="宋体"/>
                <w:color w:val="auto"/>
                <w:sz w:val="24"/>
                <w:highlight w:val="none"/>
              </w:rPr>
            </w:pPr>
          </w:p>
        </w:tc>
      </w:tr>
      <w:tr w14:paraId="3887E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4054" w:type="pct"/>
            <w:gridSpan w:val="7"/>
            <w:vAlign w:val="center"/>
          </w:tcPr>
          <w:p w14:paraId="2AB9ECB2">
            <w:pPr>
              <w:jc w:val="center"/>
              <w:rPr>
                <w:rFonts w:hint="eastAsia" w:ascii="宋体" w:hAnsi="宋体" w:eastAsia="宋体"/>
                <w:color w:val="auto"/>
                <w:sz w:val="24"/>
                <w:highlight w:val="none"/>
              </w:rPr>
            </w:pPr>
            <w:r>
              <w:rPr>
                <w:rFonts w:hint="eastAsia" w:ascii="宋体" w:hAnsi="宋体" w:eastAsia="宋体"/>
                <w:b/>
                <w:color w:val="auto"/>
                <w:sz w:val="24"/>
                <w:highlight w:val="none"/>
              </w:rPr>
              <w:t>合计金额（元）</w:t>
            </w:r>
          </w:p>
        </w:tc>
        <w:tc>
          <w:tcPr>
            <w:tcW w:w="945" w:type="pct"/>
            <w:gridSpan w:val="2"/>
          </w:tcPr>
          <w:p w14:paraId="39BA3B76">
            <w:pPr>
              <w:rPr>
                <w:rFonts w:hint="eastAsia" w:ascii="宋体" w:hAnsi="宋体" w:eastAsia="宋体"/>
                <w:color w:val="auto"/>
                <w:sz w:val="24"/>
                <w:highlight w:val="none"/>
              </w:rPr>
            </w:pPr>
          </w:p>
        </w:tc>
      </w:tr>
    </w:tbl>
    <w:p w14:paraId="51901F70">
      <w:pPr>
        <w:pStyle w:val="42"/>
        <w:rPr>
          <w:rFonts w:hint="eastAsia" w:ascii="宋体" w:hAnsi="宋体"/>
          <w:b/>
          <w:bCs/>
          <w:color w:val="auto"/>
          <w:highlight w:val="none"/>
        </w:rPr>
      </w:pPr>
    </w:p>
    <w:p w14:paraId="2112DD10">
      <w:pPr>
        <w:spacing w:line="360" w:lineRule="auto"/>
        <w:rPr>
          <w:rFonts w:hint="eastAsia" w:ascii="宋体" w:hAnsi="宋体" w:eastAsia="宋体"/>
          <w:b/>
          <w:bCs/>
          <w:color w:val="auto"/>
          <w:szCs w:val="21"/>
          <w:highlight w:val="none"/>
        </w:rPr>
      </w:pPr>
    </w:p>
    <w:p w14:paraId="6BB76C54">
      <w:pPr>
        <w:spacing w:line="360" w:lineRule="auto"/>
        <w:ind w:firstLine="4800" w:firstLineChars="2000"/>
        <w:jc w:val="center"/>
        <w:rPr>
          <w:rFonts w:hint="eastAsia" w:ascii="宋体" w:hAnsi="宋体" w:eastAsia="宋体"/>
          <w:color w:val="auto"/>
          <w:sz w:val="24"/>
          <w:highlight w:val="none"/>
          <w:u w:val="single"/>
        </w:rPr>
      </w:pPr>
      <w:r>
        <w:rPr>
          <w:rFonts w:hint="eastAsia" w:ascii="宋体" w:hAnsi="宋体" w:eastAsia="宋体"/>
          <w:color w:val="auto"/>
          <w:sz w:val="24"/>
          <w:highlight w:val="none"/>
        </w:rPr>
        <w:t>投标人电子签章：</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rPr>
        <w:t xml:space="preserve">    </w:t>
      </w:r>
    </w:p>
    <w:p w14:paraId="76C3B139">
      <w:pPr>
        <w:tabs>
          <w:tab w:val="left" w:pos="630"/>
        </w:tabs>
        <w:spacing w:line="360" w:lineRule="auto"/>
        <w:ind w:firstLine="4800" w:firstLineChars="2000"/>
        <w:jc w:val="center"/>
        <w:rPr>
          <w:rFonts w:hint="eastAsia" w:ascii="宋体" w:hAnsi="宋体" w:eastAsia="宋体"/>
          <w:color w:val="auto"/>
          <w:sz w:val="24"/>
          <w:highlight w:val="none"/>
        </w:rPr>
      </w:pPr>
      <w:r>
        <w:rPr>
          <w:rFonts w:hint="eastAsia" w:ascii="宋体" w:hAnsi="宋体" w:eastAsia="宋体"/>
          <w:color w:val="auto"/>
          <w:sz w:val="24"/>
          <w:highlight w:val="none"/>
        </w:rPr>
        <w:t xml:space="preserve">日     </w:t>
      </w:r>
      <w:r>
        <w:rPr>
          <w:rFonts w:ascii="宋体" w:hAnsi="宋体" w:eastAsia="宋体"/>
          <w:color w:val="auto"/>
          <w:sz w:val="24"/>
          <w:highlight w:val="none"/>
        </w:rPr>
        <w:t xml:space="preserve">    </w:t>
      </w:r>
      <w:r>
        <w:rPr>
          <w:rFonts w:hint="eastAsia" w:ascii="宋体" w:hAnsi="宋体" w:eastAsia="宋体"/>
          <w:color w:val="auto"/>
          <w:sz w:val="24"/>
          <w:highlight w:val="none"/>
        </w:rPr>
        <w:t xml:space="preserve"> 期：</w:t>
      </w:r>
      <w:r>
        <w:rPr>
          <w:rFonts w:hint="eastAsia" w:ascii="宋体" w:hAnsi="宋体" w:eastAsia="宋体"/>
          <w:color w:val="auto"/>
          <w:sz w:val="24"/>
          <w:highlight w:val="none"/>
          <w:u w:val="single"/>
        </w:rPr>
        <w:t xml:space="preserve">             </w:t>
      </w:r>
    </w:p>
    <w:p w14:paraId="4C72C853">
      <w:pPr>
        <w:spacing w:line="360" w:lineRule="auto"/>
        <w:rPr>
          <w:rFonts w:hint="eastAsia" w:ascii="宋体" w:hAnsi="宋体" w:eastAsia="宋体"/>
          <w:b/>
          <w:bCs/>
          <w:color w:val="auto"/>
          <w:szCs w:val="21"/>
          <w:highlight w:val="none"/>
        </w:rPr>
      </w:pPr>
      <w:r>
        <w:rPr>
          <w:rFonts w:hint="eastAsia" w:ascii="宋体" w:hAnsi="宋体" w:eastAsia="宋体"/>
          <w:b/>
          <w:bCs/>
          <w:color w:val="auto"/>
          <w:szCs w:val="21"/>
          <w:highlight w:val="none"/>
        </w:rPr>
        <w:t>注：</w:t>
      </w:r>
    </w:p>
    <w:p w14:paraId="6A7BF24A">
      <w:pPr>
        <w:spacing w:line="360" w:lineRule="auto"/>
        <w:rPr>
          <w:rFonts w:hint="eastAsia" w:ascii="宋体" w:hAnsi="宋体" w:eastAsia="宋体"/>
          <w:color w:val="auto"/>
          <w:szCs w:val="21"/>
          <w:highlight w:val="none"/>
        </w:rPr>
      </w:pPr>
      <w:r>
        <w:rPr>
          <w:rFonts w:hint="eastAsia" w:ascii="宋体" w:hAnsi="宋体" w:eastAsia="宋体"/>
          <w:color w:val="auto"/>
          <w:szCs w:val="21"/>
          <w:highlight w:val="none"/>
        </w:rPr>
        <w:t>1.表中须明确列出所投产品的货物名称、品牌、型号规格、原产地及生产厂商，否则可能导致</w:t>
      </w:r>
      <w:r>
        <w:rPr>
          <w:rFonts w:hint="eastAsia" w:ascii="宋体" w:hAnsi="宋体" w:eastAsia="宋体"/>
          <w:b/>
          <w:bCs/>
          <w:color w:val="auto"/>
          <w:szCs w:val="21"/>
          <w:highlight w:val="none"/>
        </w:rPr>
        <w:t>投标无效。</w:t>
      </w:r>
    </w:p>
    <w:p w14:paraId="300AEE6E">
      <w:pPr>
        <w:spacing w:line="360" w:lineRule="auto"/>
        <w:rPr>
          <w:rFonts w:hint="eastAsia" w:ascii="宋体" w:hAnsi="宋体" w:eastAsia="宋体"/>
          <w:color w:val="auto"/>
          <w:szCs w:val="21"/>
          <w:highlight w:val="none"/>
        </w:rPr>
      </w:pPr>
      <w:r>
        <w:rPr>
          <w:rFonts w:hint="eastAsia" w:ascii="宋体" w:hAnsi="宋体" w:eastAsia="宋体"/>
          <w:color w:val="auto"/>
          <w:szCs w:val="21"/>
          <w:highlight w:val="none"/>
        </w:rPr>
        <w:t>2.上述报价为投标人完成本项目内容的全部费用，如有漏项或缺项，自行承担全部责任。</w:t>
      </w:r>
    </w:p>
    <w:p w14:paraId="2E69BADE">
      <w:pPr>
        <w:widowControl/>
        <w:jc w:val="left"/>
        <w:rPr>
          <w:rFonts w:hint="eastAsia"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br w:type="page"/>
      </w:r>
    </w:p>
    <w:p w14:paraId="2932A660">
      <w:pPr>
        <w:spacing w:line="360" w:lineRule="auto"/>
        <w:jc w:val="center"/>
        <w:outlineLvl w:val="1"/>
        <w:rPr>
          <w:rFonts w:hint="eastAsia" w:asciiTheme="minorEastAsia" w:hAnsiTheme="minorEastAsia" w:eastAsiaTheme="minorEastAsia"/>
          <w:b/>
          <w:color w:val="auto"/>
          <w:sz w:val="24"/>
          <w:highlight w:val="none"/>
        </w:rPr>
      </w:pPr>
      <w:bookmarkStart w:id="84" w:name="_Toc221656373"/>
      <w:r>
        <w:rPr>
          <w:rFonts w:hint="eastAsia" w:asciiTheme="minorEastAsia" w:hAnsiTheme="minorEastAsia" w:eastAsiaTheme="minorEastAsia"/>
          <w:b/>
          <w:color w:val="auto"/>
          <w:sz w:val="24"/>
          <w:highlight w:val="none"/>
        </w:rPr>
        <w:t>六、投标响应表</w:t>
      </w:r>
      <w:bookmarkEnd w:id="82"/>
      <w:bookmarkEnd w:id="83"/>
      <w:bookmarkEnd w:id="84"/>
    </w:p>
    <w:p w14:paraId="17256E8B">
      <w:pPr>
        <w:spacing w:line="360" w:lineRule="auto"/>
        <w:ind w:firstLine="435"/>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6</w:t>
      </w:r>
      <w:r>
        <w:rPr>
          <w:rFonts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rPr>
        <w:t>商务响应表</w:t>
      </w:r>
    </w:p>
    <w:tbl>
      <w:tblPr>
        <w:tblStyle w:val="25"/>
        <w:tblW w:w="93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3"/>
        <w:gridCol w:w="2102"/>
        <w:gridCol w:w="2739"/>
        <w:gridCol w:w="2823"/>
        <w:gridCol w:w="888"/>
      </w:tblGrid>
      <w:tr w14:paraId="0DCB0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jc w:val="center"/>
        </w:trPr>
        <w:tc>
          <w:tcPr>
            <w:tcW w:w="793" w:type="dxa"/>
            <w:vAlign w:val="center"/>
          </w:tcPr>
          <w:p w14:paraId="120E90C8">
            <w:pPr>
              <w:pStyle w:val="12"/>
              <w:jc w:val="center"/>
              <w:rPr>
                <w:rFonts w:hint="eastAsia" w:cs="Wingdings" w:asciiTheme="minorEastAsia" w:hAnsiTheme="minorEastAsia"/>
                <w:b/>
                <w:color w:val="auto"/>
                <w:sz w:val="24"/>
                <w:highlight w:val="none"/>
              </w:rPr>
            </w:pPr>
            <w:r>
              <w:rPr>
                <w:rFonts w:hint="eastAsia" w:cs="Wingdings" w:asciiTheme="minorEastAsia" w:hAnsiTheme="minorEastAsia"/>
                <w:b/>
                <w:color w:val="auto"/>
                <w:sz w:val="24"/>
                <w:highlight w:val="none"/>
              </w:rPr>
              <w:t>序号</w:t>
            </w:r>
          </w:p>
        </w:tc>
        <w:tc>
          <w:tcPr>
            <w:tcW w:w="2102" w:type="dxa"/>
            <w:vAlign w:val="center"/>
          </w:tcPr>
          <w:p w14:paraId="53D50AAB">
            <w:pPr>
              <w:pStyle w:val="12"/>
              <w:jc w:val="center"/>
              <w:rPr>
                <w:rFonts w:hint="eastAsia" w:cs="Wingdings" w:asciiTheme="minorEastAsia" w:hAnsiTheme="minorEastAsia"/>
                <w:b/>
                <w:color w:val="auto"/>
                <w:sz w:val="24"/>
                <w:highlight w:val="none"/>
              </w:rPr>
            </w:pPr>
            <w:r>
              <w:rPr>
                <w:rFonts w:hint="eastAsia" w:asciiTheme="minorEastAsia" w:hAnsiTheme="minorEastAsia"/>
                <w:b/>
                <w:bCs/>
                <w:color w:val="auto"/>
                <w:sz w:val="24"/>
                <w:szCs w:val="24"/>
                <w:highlight w:val="none"/>
              </w:rPr>
              <w:t>商务条款</w:t>
            </w:r>
          </w:p>
        </w:tc>
        <w:tc>
          <w:tcPr>
            <w:tcW w:w="2739" w:type="dxa"/>
            <w:vAlign w:val="center"/>
          </w:tcPr>
          <w:p w14:paraId="2F071CEF">
            <w:pPr>
              <w:pStyle w:val="12"/>
              <w:jc w:val="center"/>
              <w:rPr>
                <w:rFonts w:hint="eastAsia" w:cs="Wingdings" w:asciiTheme="minorEastAsia" w:hAnsiTheme="minorEastAsia"/>
                <w:b/>
                <w:color w:val="auto"/>
                <w:sz w:val="24"/>
                <w:highlight w:val="none"/>
              </w:rPr>
            </w:pPr>
            <w:r>
              <w:rPr>
                <w:rFonts w:hint="eastAsia" w:cs="Wingdings" w:asciiTheme="minorEastAsia" w:hAnsiTheme="minorEastAsia"/>
                <w:b/>
                <w:color w:val="auto"/>
                <w:sz w:val="24"/>
                <w:highlight w:val="none"/>
              </w:rPr>
              <w:t>招标文件要求</w:t>
            </w:r>
          </w:p>
        </w:tc>
        <w:tc>
          <w:tcPr>
            <w:tcW w:w="2823" w:type="dxa"/>
            <w:vAlign w:val="center"/>
          </w:tcPr>
          <w:p w14:paraId="3EEDDC5C">
            <w:pPr>
              <w:pStyle w:val="12"/>
              <w:jc w:val="center"/>
              <w:rPr>
                <w:rFonts w:hint="eastAsia" w:cs="Wingdings" w:asciiTheme="minorEastAsia" w:hAnsiTheme="minorEastAsia"/>
                <w:b/>
                <w:color w:val="auto"/>
                <w:sz w:val="24"/>
                <w:highlight w:val="none"/>
              </w:rPr>
            </w:pPr>
            <w:r>
              <w:rPr>
                <w:rFonts w:hint="eastAsia" w:cs="Wingdings" w:asciiTheme="minorEastAsia" w:hAnsiTheme="minorEastAsia"/>
                <w:b/>
                <w:color w:val="auto"/>
                <w:sz w:val="24"/>
                <w:highlight w:val="none"/>
              </w:rPr>
              <w:t>投标人承诺</w:t>
            </w:r>
          </w:p>
        </w:tc>
        <w:tc>
          <w:tcPr>
            <w:tcW w:w="888" w:type="dxa"/>
            <w:vAlign w:val="center"/>
          </w:tcPr>
          <w:p w14:paraId="462B7F9A">
            <w:pPr>
              <w:pStyle w:val="12"/>
              <w:jc w:val="center"/>
              <w:rPr>
                <w:rFonts w:hint="eastAsia" w:cs="Wingdings" w:asciiTheme="minorEastAsia" w:hAnsiTheme="minorEastAsia"/>
                <w:b/>
                <w:color w:val="auto"/>
                <w:sz w:val="24"/>
                <w:highlight w:val="none"/>
              </w:rPr>
            </w:pPr>
            <w:r>
              <w:rPr>
                <w:rFonts w:hint="eastAsia" w:cs="Wingdings" w:asciiTheme="minorEastAsia" w:hAnsiTheme="minorEastAsia"/>
                <w:b/>
                <w:color w:val="auto"/>
                <w:sz w:val="24"/>
                <w:highlight w:val="none"/>
              </w:rPr>
              <w:t>偏离说明</w:t>
            </w:r>
          </w:p>
        </w:tc>
      </w:tr>
      <w:tr w14:paraId="216C6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793" w:type="dxa"/>
            <w:vAlign w:val="center"/>
          </w:tcPr>
          <w:p w14:paraId="414D0C55">
            <w:pPr>
              <w:jc w:val="center"/>
              <w:rPr>
                <w:rFonts w:hint="eastAsia"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p>
        </w:tc>
        <w:tc>
          <w:tcPr>
            <w:tcW w:w="2102" w:type="dxa"/>
            <w:vAlign w:val="center"/>
          </w:tcPr>
          <w:p w14:paraId="43DEE588">
            <w:pPr>
              <w:jc w:val="center"/>
              <w:rPr>
                <w:rFonts w:hint="eastAsia" w:ascii="宋体" w:hAnsi="宋体" w:eastAsia="宋体"/>
                <w:color w:val="auto"/>
                <w:sz w:val="24"/>
                <w:highlight w:val="none"/>
              </w:rPr>
            </w:pPr>
            <w:r>
              <w:rPr>
                <w:rFonts w:asciiTheme="minorEastAsia" w:hAnsiTheme="minorEastAsia" w:eastAsiaTheme="minorEastAsia"/>
                <w:color w:val="auto"/>
                <w:sz w:val="24"/>
                <w:highlight w:val="none"/>
              </w:rPr>
              <w:t>付款方式</w:t>
            </w:r>
          </w:p>
        </w:tc>
        <w:tc>
          <w:tcPr>
            <w:tcW w:w="2739" w:type="dxa"/>
            <w:vAlign w:val="center"/>
          </w:tcPr>
          <w:p w14:paraId="59186547">
            <w:pPr>
              <w:jc w:val="center"/>
              <w:rPr>
                <w:rFonts w:hint="eastAsia" w:asciiTheme="minorEastAsia" w:hAnsiTheme="minorEastAsia" w:eastAsiaTheme="minorEastAsia"/>
                <w:color w:val="auto"/>
                <w:sz w:val="24"/>
                <w:highlight w:val="none"/>
              </w:rPr>
            </w:pPr>
          </w:p>
        </w:tc>
        <w:tc>
          <w:tcPr>
            <w:tcW w:w="2823" w:type="dxa"/>
            <w:vAlign w:val="center"/>
          </w:tcPr>
          <w:p w14:paraId="17F22A97">
            <w:pPr>
              <w:jc w:val="center"/>
              <w:rPr>
                <w:rFonts w:hint="eastAsia" w:asciiTheme="minorEastAsia" w:hAnsiTheme="minorEastAsia" w:eastAsiaTheme="minorEastAsia"/>
                <w:color w:val="auto"/>
                <w:sz w:val="24"/>
                <w:highlight w:val="none"/>
              </w:rPr>
            </w:pPr>
          </w:p>
        </w:tc>
        <w:tc>
          <w:tcPr>
            <w:tcW w:w="888" w:type="dxa"/>
            <w:vAlign w:val="center"/>
          </w:tcPr>
          <w:p w14:paraId="40589582">
            <w:pPr>
              <w:jc w:val="center"/>
              <w:rPr>
                <w:rFonts w:hint="eastAsia" w:asciiTheme="minorEastAsia" w:hAnsiTheme="minorEastAsia" w:eastAsiaTheme="minorEastAsia"/>
                <w:color w:val="auto"/>
                <w:sz w:val="24"/>
                <w:highlight w:val="none"/>
              </w:rPr>
            </w:pPr>
          </w:p>
        </w:tc>
      </w:tr>
      <w:tr w14:paraId="056F2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793" w:type="dxa"/>
            <w:vAlign w:val="center"/>
          </w:tcPr>
          <w:p w14:paraId="57C3C9D0">
            <w:pPr>
              <w:jc w:val="center"/>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p>
        </w:tc>
        <w:tc>
          <w:tcPr>
            <w:tcW w:w="2102" w:type="dxa"/>
            <w:vAlign w:val="center"/>
          </w:tcPr>
          <w:p w14:paraId="0D222109">
            <w:pPr>
              <w:jc w:val="center"/>
              <w:rPr>
                <w:rFonts w:hint="eastAsia" w:ascii="宋体" w:hAnsi="宋体" w:eastAsia="宋体"/>
                <w:color w:val="auto"/>
                <w:sz w:val="24"/>
                <w:highlight w:val="none"/>
              </w:rPr>
            </w:pPr>
            <w:r>
              <w:rPr>
                <w:rFonts w:hint="eastAsia" w:ascii="宋体" w:hAnsi="宋体" w:eastAsia="宋体"/>
                <w:color w:val="auto"/>
                <w:sz w:val="24"/>
                <w:highlight w:val="none"/>
              </w:rPr>
              <w:t>供货及安装地点</w:t>
            </w:r>
          </w:p>
        </w:tc>
        <w:tc>
          <w:tcPr>
            <w:tcW w:w="2739" w:type="dxa"/>
            <w:vAlign w:val="center"/>
          </w:tcPr>
          <w:p w14:paraId="7159FC08">
            <w:pPr>
              <w:jc w:val="center"/>
              <w:rPr>
                <w:rFonts w:hint="eastAsia" w:asciiTheme="minorEastAsia" w:hAnsiTheme="minorEastAsia" w:eastAsiaTheme="minorEastAsia"/>
                <w:color w:val="auto"/>
                <w:sz w:val="24"/>
                <w:highlight w:val="none"/>
              </w:rPr>
            </w:pPr>
          </w:p>
        </w:tc>
        <w:tc>
          <w:tcPr>
            <w:tcW w:w="2823" w:type="dxa"/>
            <w:vAlign w:val="center"/>
          </w:tcPr>
          <w:p w14:paraId="2426ADBA">
            <w:pPr>
              <w:jc w:val="center"/>
              <w:rPr>
                <w:rFonts w:hint="eastAsia" w:asciiTheme="minorEastAsia" w:hAnsiTheme="minorEastAsia" w:eastAsiaTheme="minorEastAsia"/>
                <w:color w:val="auto"/>
                <w:sz w:val="24"/>
                <w:highlight w:val="none"/>
              </w:rPr>
            </w:pPr>
          </w:p>
        </w:tc>
        <w:tc>
          <w:tcPr>
            <w:tcW w:w="888" w:type="dxa"/>
            <w:vAlign w:val="center"/>
          </w:tcPr>
          <w:p w14:paraId="7AE384EB">
            <w:pPr>
              <w:jc w:val="center"/>
              <w:rPr>
                <w:rFonts w:hint="eastAsia" w:asciiTheme="minorEastAsia" w:hAnsiTheme="minorEastAsia" w:eastAsiaTheme="minorEastAsia"/>
                <w:color w:val="auto"/>
                <w:sz w:val="24"/>
                <w:highlight w:val="none"/>
              </w:rPr>
            </w:pPr>
          </w:p>
        </w:tc>
      </w:tr>
      <w:tr w14:paraId="78108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793" w:type="dxa"/>
            <w:vAlign w:val="center"/>
          </w:tcPr>
          <w:p w14:paraId="156E9226">
            <w:pPr>
              <w:jc w:val="center"/>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p>
        </w:tc>
        <w:tc>
          <w:tcPr>
            <w:tcW w:w="2102" w:type="dxa"/>
            <w:vAlign w:val="center"/>
          </w:tcPr>
          <w:p w14:paraId="4DE97AE5">
            <w:pPr>
              <w:jc w:val="center"/>
              <w:rPr>
                <w:rFonts w:hint="eastAsia" w:ascii="宋体" w:hAnsi="宋体" w:eastAsia="宋体"/>
                <w:color w:val="auto"/>
                <w:sz w:val="24"/>
                <w:highlight w:val="none"/>
              </w:rPr>
            </w:pPr>
            <w:r>
              <w:rPr>
                <w:rFonts w:hint="eastAsia" w:ascii="宋体" w:hAnsi="宋体" w:eastAsia="宋体"/>
                <w:color w:val="auto"/>
                <w:sz w:val="24"/>
                <w:highlight w:val="none"/>
              </w:rPr>
              <w:t>供货及安装期限</w:t>
            </w:r>
          </w:p>
        </w:tc>
        <w:tc>
          <w:tcPr>
            <w:tcW w:w="2739" w:type="dxa"/>
            <w:vAlign w:val="center"/>
          </w:tcPr>
          <w:p w14:paraId="111C7AC9">
            <w:pPr>
              <w:jc w:val="center"/>
              <w:rPr>
                <w:rFonts w:hint="eastAsia" w:asciiTheme="minorEastAsia" w:hAnsiTheme="minorEastAsia" w:eastAsiaTheme="minorEastAsia"/>
                <w:color w:val="auto"/>
                <w:sz w:val="24"/>
                <w:highlight w:val="none"/>
              </w:rPr>
            </w:pPr>
          </w:p>
        </w:tc>
        <w:tc>
          <w:tcPr>
            <w:tcW w:w="2823" w:type="dxa"/>
            <w:vAlign w:val="center"/>
          </w:tcPr>
          <w:p w14:paraId="0C9F3176">
            <w:pPr>
              <w:pStyle w:val="42"/>
              <w:jc w:val="center"/>
              <w:rPr>
                <w:rFonts w:hint="eastAsia" w:asciiTheme="minorEastAsia" w:hAnsiTheme="minorEastAsia" w:eastAsiaTheme="minorEastAsia"/>
                <w:color w:val="auto"/>
                <w:highlight w:val="none"/>
              </w:rPr>
            </w:pPr>
          </w:p>
        </w:tc>
        <w:tc>
          <w:tcPr>
            <w:tcW w:w="888" w:type="dxa"/>
            <w:vAlign w:val="center"/>
          </w:tcPr>
          <w:p w14:paraId="5239376F">
            <w:pPr>
              <w:jc w:val="center"/>
              <w:rPr>
                <w:rFonts w:hint="eastAsia" w:asciiTheme="minorEastAsia" w:hAnsiTheme="minorEastAsia" w:eastAsiaTheme="minorEastAsia"/>
                <w:color w:val="auto"/>
                <w:sz w:val="24"/>
                <w:highlight w:val="none"/>
              </w:rPr>
            </w:pPr>
          </w:p>
        </w:tc>
      </w:tr>
      <w:tr w14:paraId="337B0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793" w:type="dxa"/>
            <w:vAlign w:val="center"/>
          </w:tcPr>
          <w:p w14:paraId="2D0B5D29">
            <w:pPr>
              <w:jc w:val="center"/>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w:t>
            </w:r>
          </w:p>
        </w:tc>
        <w:tc>
          <w:tcPr>
            <w:tcW w:w="2102" w:type="dxa"/>
            <w:vAlign w:val="center"/>
          </w:tcPr>
          <w:p w14:paraId="2801BE4B">
            <w:pPr>
              <w:jc w:val="center"/>
              <w:rPr>
                <w:rFonts w:hint="eastAsia" w:ascii="宋体" w:hAnsi="宋体" w:eastAsia="宋体"/>
                <w:color w:val="auto"/>
                <w:sz w:val="24"/>
                <w:highlight w:val="none"/>
              </w:rPr>
            </w:pPr>
            <w:r>
              <w:rPr>
                <w:rFonts w:hint="eastAsia" w:ascii="宋体" w:hAnsi="宋体" w:eastAsia="宋体"/>
                <w:color w:val="auto"/>
                <w:sz w:val="24"/>
                <w:highlight w:val="none"/>
              </w:rPr>
              <w:t>免费质保期</w:t>
            </w:r>
          </w:p>
        </w:tc>
        <w:tc>
          <w:tcPr>
            <w:tcW w:w="2739" w:type="dxa"/>
            <w:vAlign w:val="center"/>
          </w:tcPr>
          <w:p w14:paraId="65EE1943">
            <w:pPr>
              <w:jc w:val="center"/>
              <w:rPr>
                <w:rFonts w:hint="eastAsia" w:asciiTheme="minorEastAsia" w:hAnsiTheme="minorEastAsia" w:eastAsiaTheme="minorEastAsia"/>
                <w:color w:val="auto"/>
                <w:sz w:val="24"/>
                <w:highlight w:val="none"/>
              </w:rPr>
            </w:pPr>
          </w:p>
        </w:tc>
        <w:tc>
          <w:tcPr>
            <w:tcW w:w="2823" w:type="dxa"/>
            <w:vAlign w:val="center"/>
          </w:tcPr>
          <w:p w14:paraId="7A4C0D42">
            <w:pPr>
              <w:jc w:val="center"/>
              <w:rPr>
                <w:rFonts w:hint="eastAsia" w:asciiTheme="minorEastAsia" w:hAnsiTheme="minorEastAsia" w:eastAsiaTheme="minorEastAsia"/>
                <w:color w:val="auto"/>
                <w:sz w:val="24"/>
                <w:highlight w:val="none"/>
              </w:rPr>
            </w:pPr>
          </w:p>
        </w:tc>
        <w:tc>
          <w:tcPr>
            <w:tcW w:w="888" w:type="dxa"/>
            <w:vAlign w:val="center"/>
          </w:tcPr>
          <w:p w14:paraId="52A588B9">
            <w:pPr>
              <w:jc w:val="center"/>
              <w:rPr>
                <w:rFonts w:hint="eastAsia" w:asciiTheme="minorEastAsia" w:hAnsiTheme="minorEastAsia" w:eastAsiaTheme="minorEastAsia"/>
                <w:color w:val="auto"/>
                <w:sz w:val="24"/>
                <w:highlight w:val="none"/>
              </w:rPr>
            </w:pPr>
          </w:p>
        </w:tc>
      </w:tr>
      <w:tr w14:paraId="1C795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793" w:type="dxa"/>
            <w:vAlign w:val="center"/>
          </w:tcPr>
          <w:p w14:paraId="1128BF96">
            <w:pPr>
              <w:jc w:val="center"/>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p>
        </w:tc>
        <w:tc>
          <w:tcPr>
            <w:tcW w:w="2102" w:type="dxa"/>
            <w:vAlign w:val="center"/>
          </w:tcPr>
          <w:p w14:paraId="634A89EC">
            <w:pPr>
              <w:jc w:val="center"/>
              <w:rPr>
                <w:rFonts w:hint="eastAsia" w:ascii="宋体" w:hAnsi="宋体" w:eastAsia="宋体"/>
                <w:color w:val="auto"/>
                <w:sz w:val="24"/>
                <w:highlight w:val="none"/>
              </w:rPr>
            </w:pPr>
          </w:p>
        </w:tc>
        <w:tc>
          <w:tcPr>
            <w:tcW w:w="2739" w:type="dxa"/>
            <w:vAlign w:val="center"/>
          </w:tcPr>
          <w:p w14:paraId="3D9A17EC">
            <w:pPr>
              <w:jc w:val="center"/>
              <w:rPr>
                <w:rFonts w:hint="eastAsia" w:asciiTheme="minorEastAsia" w:hAnsiTheme="minorEastAsia" w:eastAsiaTheme="minorEastAsia"/>
                <w:color w:val="auto"/>
                <w:sz w:val="24"/>
                <w:highlight w:val="none"/>
              </w:rPr>
            </w:pPr>
          </w:p>
        </w:tc>
        <w:tc>
          <w:tcPr>
            <w:tcW w:w="2823" w:type="dxa"/>
            <w:vAlign w:val="center"/>
          </w:tcPr>
          <w:p w14:paraId="5B9495DE">
            <w:pPr>
              <w:jc w:val="center"/>
              <w:rPr>
                <w:rFonts w:hint="eastAsia" w:asciiTheme="minorEastAsia" w:hAnsiTheme="minorEastAsia" w:eastAsiaTheme="minorEastAsia"/>
                <w:color w:val="auto"/>
                <w:sz w:val="24"/>
                <w:highlight w:val="none"/>
              </w:rPr>
            </w:pPr>
          </w:p>
        </w:tc>
        <w:tc>
          <w:tcPr>
            <w:tcW w:w="888" w:type="dxa"/>
            <w:vAlign w:val="center"/>
          </w:tcPr>
          <w:p w14:paraId="6E465D62">
            <w:pPr>
              <w:jc w:val="center"/>
              <w:rPr>
                <w:rFonts w:hint="eastAsia" w:asciiTheme="minorEastAsia" w:hAnsiTheme="minorEastAsia" w:eastAsiaTheme="minorEastAsia"/>
                <w:color w:val="auto"/>
                <w:sz w:val="24"/>
                <w:highlight w:val="none"/>
              </w:rPr>
            </w:pPr>
          </w:p>
        </w:tc>
      </w:tr>
    </w:tbl>
    <w:p w14:paraId="76DDB977">
      <w:pPr>
        <w:spacing w:line="360" w:lineRule="auto"/>
        <w:ind w:firstLine="435"/>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6</w:t>
      </w:r>
      <w:r>
        <w:rPr>
          <w:rFonts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rPr>
        <w:t>技术响应表</w:t>
      </w:r>
    </w:p>
    <w:tbl>
      <w:tblPr>
        <w:tblStyle w:val="25"/>
        <w:tblW w:w="93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3"/>
        <w:gridCol w:w="1711"/>
        <w:gridCol w:w="3141"/>
        <w:gridCol w:w="2722"/>
        <w:gridCol w:w="938"/>
      </w:tblGrid>
      <w:tr w14:paraId="371E1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jc w:val="center"/>
        </w:trPr>
        <w:tc>
          <w:tcPr>
            <w:tcW w:w="833" w:type="dxa"/>
            <w:vAlign w:val="center"/>
          </w:tcPr>
          <w:p w14:paraId="332101D1">
            <w:pPr>
              <w:pStyle w:val="12"/>
              <w:jc w:val="center"/>
              <w:rPr>
                <w:rFonts w:hint="eastAsia" w:cs="Wingdings" w:asciiTheme="minorEastAsia" w:hAnsiTheme="minorEastAsia"/>
                <w:b/>
                <w:color w:val="auto"/>
                <w:sz w:val="24"/>
                <w:highlight w:val="none"/>
              </w:rPr>
            </w:pPr>
            <w:r>
              <w:rPr>
                <w:rFonts w:hint="eastAsia" w:cs="Wingdings" w:asciiTheme="minorEastAsia" w:hAnsiTheme="minorEastAsia"/>
                <w:b/>
                <w:color w:val="auto"/>
                <w:sz w:val="24"/>
                <w:highlight w:val="none"/>
              </w:rPr>
              <w:t>序号</w:t>
            </w:r>
          </w:p>
        </w:tc>
        <w:tc>
          <w:tcPr>
            <w:tcW w:w="1711" w:type="dxa"/>
            <w:vAlign w:val="center"/>
          </w:tcPr>
          <w:p w14:paraId="144F84DF">
            <w:pPr>
              <w:pStyle w:val="12"/>
              <w:jc w:val="center"/>
              <w:rPr>
                <w:rFonts w:hint="eastAsia" w:cs="Wingdings" w:asciiTheme="minorEastAsia" w:hAnsiTheme="minorEastAsia"/>
                <w:b/>
                <w:color w:val="auto"/>
                <w:sz w:val="24"/>
                <w:highlight w:val="none"/>
              </w:rPr>
            </w:pPr>
            <w:r>
              <w:rPr>
                <w:rFonts w:hint="eastAsia" w:asciiTheme="minorEastAsia" w:hAnsiTheme="minorEastAsia"/>
                <w:b/>
                <w:bCs/>
                <w:color w:val="auto"/>
                <w:sz w:val="24"/>
                <w:szCs w:val="24"/>
                <w:highlight w:val="none"/>
              </w:rPr>
              <w:t>货物名称</w:t>
            </w:r>
          </w:p>
        </w:tc>
        <w:tc>
          <w:tcPr>
            <w:tcW w:w="3141" w:type="dxa"/>
            <w:vAlign w:val="center"/>
          </w:tcPr>
          <w:p w14:paraId="49A91F9A">
            <w:pPr>
              <w:pStyle w:val="12"/>
              <w:jc w:val="center"/>
              <w:rPr>
                <w:rFonts w:hint="eastAsia" w:cs="Wingdings" w:asciiTheme="minorEastAsia" w:hAnsiTheme="minorEastAsia"/>
                <w:b/>
                <w:color w:val="auto"/>
                <w:sz w:val="24"/>
                <w:highlight w:val="none"/>
              </w:rPr>
            </w:pPr>
            <w:r>
              <w:rPr>
                <w:rFonts w:hint="eastAsia" w:cs="Wingdings" w:asciiTheme="minorEastAsia" w:hAnsiTheme="minorEastAsia"/>
                <w:b/>
                <w:color w:val="auto"/>
                <w:sz w:val="24"/>
                <w:highlight w:val="none"/>
              </w:rPr>
              <w:t>招标文件规定的技术参数及要求</w:t>
            </w:r>
          </w:p>
        </w:tc>
        <w:tc>
          <w:tcPr>
            <w:tcW w:w="2722" w:type="dxa"/>
            <w:vAlign w:val="center"/>
          </w:tcPr>
          <w:p w14:paraId="782E2072">
            <w:pPr>
              <w:pStyle w:val="12"/>
              <w:jc w:val="center"/>
              <w:rPr>
                <w:rFonts w:hint="eastAsia" w:cs="Wingdings" w:asciiTheme="minorEastAsia" w:hAnsiTheme="minorEastAsia"/>
                <w:b/>
                <w:color w:val="auto"/>
                <w:sz w:val="24"/>
                <w:highlight w:val="none"/>
              </w:rPr>
            </w:pPr>
            <w:r>
              <w:rPr>
                <w:rFonts w:hint="eastAsia" w:cs="Wingdings" w:asciiTheme="minorEastAsia" w:hAnsiTheme="minorEastAsia"/>
                <w:b/>
                <w:color w:val="auto"/>
                <w:sz w:val="24"/>
                <w:highlight w:val="none"/>
              </w:rPr>
              <w:t>所投产品的品牌、型号及技术参数</w:t>
            </w:r>
          </w:p>
        </w:tc>
        <w:tc>
          <w:tcPr>
            <w:tcW w:w="938" w:type="dxa"/>
            <w:vAlign w:val="center"/>
          </w:tcPr>
          <w:p w14:paraId="1C9FBCE3">
            <w:pPr>
              <w:pStyle w:val="12"/>
              <w:jc w:val="center"/>
              <w:rPr>
                <w:rFonts w:hint="eastAsia" w:cs="Wingdings" w:asciiTheme="minorEastAsia" w:hAnsiTheme="minorEastAsia"/>
                <w:b/>
                <w:color w:val="auto"/>
                <w:sz w:val="24"/>
                <w:highlight w:val="none"/>
              </w:rPr>
            </w:pPr>
            <w:r>
              <w:rPr>
                <w:rFonts w:hint="eastAsia" w:cs="Wingdings" w:asciiTheme="minorEastAsia" w:hAnsiTheme="minorEastAsia"/>
                <w:b/>
                <w:color w:val="auto"/>
                <w:sz w:val="24"/>
                <w:highlight w:val="none"/>
              </w:rPr>
              <w:t>偏离说明</w:t>
            </w:r>
          </w:p>
        </w:tc>
      </w:tr>
      <w:tr w14:paraId="0A065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33" w:type="dxa"/>
            <w:vAlign w:val="center"/>
          </w:tcPr>
          <w:p w14:paraId="17DFEB53">
            <w:pPr>
              <w:jc w:val="center"/>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p>
        </w:tc>
        <w:tc>
          <w:tcPr>
            <w:tcW w:w="1711" w:type="dxa"/>
            <w:vAlign w:val="center"/>
          </w:tcPr>
          <w:p w14:paraId="04539B5C">
            <w:pPr>
              <w:jc w:val="center"/>
              <w:rPr>
                <w:rFonts w:hint="eastAsia" w:asciiTheme="minorEastAsia" w:hAnsiTheme="minorEastAsia" w:eastAsiaTheme="minorEastAsia"/>
                <w:color w:val="auto"/>
                <w:sz w:val="24"/>
                <w:highlight w:val="none"/>
              </w:rPr>
            </w:pPr>
          </w:p>
        </w:tc>
        <w:tc>
          <w:tcPr>
            <w:tcW w:w="3141" w:type="dxa"/>
            <w:vAlign w:val="center"/>
          </w:tcPr>
          <w:p w14:paraId="167BC17C">
            <w:pPr>
              <w:jc w:val="center"/>
              <w:rPr>
                <w:rFonts w:hint="eastAsia" w:asciiTheme="minorEastAsia" w:hAnsiTheme="minorEastAsia" w:eastAsiaTheme="minorEastAsia"/>
                <w:color w:val="auto"/>
                <w:sz w:val="24"/>
                <w:highlight w:val="none"/>
              </w:rPr>
            </w:pPr>
          </w:p>
        </w:tc>
        <w:tc>
          <w:tcPr>
            <w:tcW w:w="2722" w:type="dxa"/>
            <w:vAlign w:val="center"/>
          </w:tcPr>
          <w:p w14:paraId="24BA7A34">
            <w:pPr>
              <w:jc w:val="center"/>
              <w:rPr>
                <w:rFonts w:hint="eastAsia" w:asciiTheme="minorEastAsia" w:hAnsiTheme="minorEastAsia" w:eastAsiaTheme="minorEastAsia"/>
                <w:color w:val="auto"/>
                <w:sz w:val="24"/>
                <w:highlight w:val="none"/>
              </w:rPr>
            </w:pPr>
          </w:p>
        </w:tc>
        <w:tc>
          <w:tcPr>
            <w:tcW w:w="938" w:type="dxa"/>
            <w:vAlign w:val="center"/>
          </w:tcPr>
          <w:p w14:paraId="20EEF3A9">
            <w:pPr>
              <w:jc w:val="center"/>
              <w:rPr>
                <w:rFonts w:hint="eastAsia" w:asciiTheme="minorEastAsia" w:hAnsiTheme="minorEastAsia" w:eastAsiaTheme="minorEastAsia"/>
                <w:color w:val="auto"/>
                <w:sz w:val="24"/>
                <w:highlight w:val="none"/>
              </w:rPr>
            </w:pPr>
          </w:p>
        </w:tc>
      </w:tr>
      <w:tr w14:paraId="16AB6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33" w:type="dxa"/>
            <w:vAlign w:val="center"/>
          </w:tcPr>
          <w:p w14:paraId="30DA5F2F">
            <w:pPr>
              <w:jc w:val="center"/>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p>
        </w:tc>
        <w:tc>
          <w:tcPr>
            <w:tcW w:w="1711" w:type="dxa"/>
            <w:vAlign w:val="center"/>
          </w:tcPr>
          <w:p w14:paraId="44824CF0">
            <w:pPr>
              <w:jc w:val="center"/>
              <w:rPr>
                <w:rFonts w:hint="eastAsia" w:asciiTheme="minorEastAsia" w:hAnsiTheme="minorEastAsia" w:eastAsiaTheme="minorEastAsia"/>
                <w:color w:val="auto"/>
                <w:sz w:val="24"/>
                <w:highlight w:val="none"/>
              </w:rPr>
            </w:pPr>
          </w:p>
        </w:tc>
        <w:tc>
          <w:tcPr>
            <w:tcW w:w="3141" w:type="dxa"/>
            <w:vAlign w:val="center"/>
          </w:tcPr>
          <w:p w14:paraId="55CE7C3C">
            <w:pPr>
              <w:jc w:val="center"/>
              <w:rPr>
                <w:rFonts w:hint="eastAsia" w:asciiTheme="minorEastAsia" w:hAnsiTheme="minorEastAsia" w:eastAsiaTheme="minorEastAsia"/>
                <w:color w:val="auto"/>
                <w:sz w:val="24"/>
                <w:highlight w:val="none"/>
              </w:rPr>
            </w:pPr>
          </w:p>
        </w:tc>
        <w:tc>
          <w:tcPr>
            <w:tcW w:w="2722" w:type="dxa"/>
            <w:vAlign w:val="center"/>
          </w:tcPr>
          <w:p w14:paraId="6D80FCF6">
            <w:pPr>
              <w:jc w:val="center"/>
              <w:rPr>
                <w:rFonts w:hint="eastAsia" w:asciiTheme="minorEastAsia" w:hAnsiTheme="minorEastAsia" w:eastAsiaTheme="minorEastAsia"/>
                <w:color w:val="auto"/>
                <w:sz w:val="24"/>
                <w:highlight w:val="none"/>
              </w:rPr>
            </w:pPr>
          </w:p>
        </w:tc>
        <w:tc>
          <w:tcPr>
            <w:tcW w:w="938" w:type="dxa"/>
            <w:vAlign w:val="center"/>
          </w:tcPr>
          <w:p w14:paraId="08754A2E">
            <w:pPr>
              <w:jc w:val="center"/>
              <w:rPr>
                <w:rFonts w:hint="eastAsia" w:asciiTheme="minorEastAsia" w:hAnsiTheme="minorEastAsia" w:eastAsiaTheme="minorEastAsia"/>
                <w:color w:val="auto"/>
                <w:sz w:val="24"/>
                <w:highlight w:val="none"/>
              </w:rPr>
            </w:pPr>
          </w:p>
        </w:tc>
      </w:tr>
      <w:tr w14:paraId="177DD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33" w:type="dxa"/>
            <w:vAlign w:val="center"/>
          </w:tcPr>
          <w:p w14:paraId="49A3EA52">
            <w:pPr>
              <w:jc w:val="center"/>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p>
        </w:tc>
        <w:tc>
          <w:tcPr>
            <w:tcW w:w="1711" w:type="dxa"/>
            <w:vAlign w:val="center"/>
          </w:tcPr>
          <w:p w14:paraId="3061167E">
            <w:pPr>
              <w:jc w:val="center"/>
              <w:rPr>
                <w:rFonts w:hint="eastAsia" w:asciiTheme="minorEastAsia" w:hAnsiTheme="minorEastAsia" w:eastAsiaTheme="minorEastAsia"/>
                <w:color w:val="auto"/>
                <w:sz w:val="24"/>
                <w:highlight w:val="none"/>
              </w:rPr>
            </w:pPr>
          </w:p>
        </w:tc>
        <w:tc>
          <w:tcPr>
            <w:tcW w:w="3141" w:type="dxa"/>
            <w:vAlign w:val="center"/>
          </w:tcPr>
          <w:p w14:paraId="17A8BD49">
            <w:pPr>
              <w:jc w:val="center"/>
              <w:rPr>
                <w:rFonts w:hint="eastAsia" w:asciiTheme="minorEastAsia" w:hAnsiTheme="minorEastAsia" w:eastAsiaTheme="minorEastAsia"/>
                <w:color w:val="auto"/>
                <w:sz w:val="24"/>
                <w:highlight w:val="none"/>
              </w:rPr>
            </w:pPr>
          </w:p>
        </w:tc>
        <w:tc>
          <w:tcPr>
            <w:tcW w:w="2722" w:type="dxa"/>
            <w:vAlign w:val="center"/>
          </w:tcPr>
          <w:p w14:paraId="3F72675F">
            <w:pPr>
              <w:pStyle w:val="42"/>
              <w:jc w:val="center"/>
              <w:rPr>
                <w:rFonts w:hint="eastAsia" w:asciiTheme="minorEastAsia" w:hAnsiTheme="minorEastAsia" w:eastAsiaTheme="minorEastAsia"/>
                <w:color w:val="auto"/>
                <w:highlight w:val="none"/>
              </w:rPr>
            </w:pPr>
          </w:p>
        </w:tc>
        <w:tc>
          <w:tcPr>
            <w:tcW w:w="938" w:type="dxa"/>
            <w:vAlign w:val="center"/>
          </w:tcPr>
          <w:p w14:paraId="22F476CA">
            <w:pPr>
              <w:jc w:val="center"/>
              <w:rPr>
                <w:rFonts w:hint="eastAsia" w:asciiTheme="minorEastAsia" w:hAnsiTheme="minorEastAsia" w:eastAsiaTheme="minorEastAsia"/>
                <w:color w:val="auto"/>
                <w:sz w:val="24"/>
                <w:highlight w:val="none"/>
              </w:rPr>
            </w:pPr>
          </w:p>
        </w:tc>
      </w:tr>
      <w:tr w14:paraId="6B475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33" w:type="dxa"/>
            <w:vAlign w:val="center"/>
          </w:tcPr>
          <w:p w14:paraId="52AB3BF4">
            <w:pPr>
              <w:jc w:val="center"/>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w:t>
            </w:r>
          </w:p>
        </w:tc>
        <w:tc>
          <w:tcPr>
            <w:tcW w:w="1711" w:type="dxa"/>
            <w:vAlign w:val="center"/>
          </w:tcPr>
          <w:p w14:paraId="0E27E5C5">
            <w:pPr>
              <w:jc w:val="center"/>
              <w:rPr>
                <w:rFonts w:hint="eastAsia" w:asciiTheme="minorEastAsia" w:hAnsiTheme="minorEastAsia" w:eastAsiaTheme="minorEastAsia"/>
                <w:color w:val="auto"/>
                <w:sz w:val="24"/>
                <w:highlight w:val="none"/>
              </w:rPr>
            </w:pPr>
          </w:p>
        </w:tc>
        <w:tc>
          <w:tcPr>
            <w:tcW w:w="3141" w:type="dxa"/>
            <w:vAlign w:val="center"/>
          </w:tcPr>
          <w:p w14:paraId="2BA68026">
            <w:pPr>
              <w:jc w:val="center"/>
              <w:rPr>
                <w:rFonts w:hint="eastAsia" w:asciiTheme="minorEastAsia" w:hAnsiTheme="minorEastAsia" w:eastAsiaTheme="minorEastAsia"/>
                <w:color w:val="auto"/>
                <w:sz w:val="24"/>
                <w:highlight w:val="none"/>
              </w:rPr>
            </w:pPr>
          </w:p>
        </w:tc>
        <w:tc>
          <w:tcPr>
            <w:tcW w:w="2722" w:type="dxa"/>
            <w:vAlign w:val="center"/>
          </w:tcPr>
          <w:p w14:paraId="2D8EF385">
            <w:pPr>
              <w:pStyle w:val="42"/>
              <w:jc w:val="center"/>
              <w:rPr>
                <w:rFonts w:hint="eastAsia" w:asciiTheme="minorEastAsia" w:hAnsiTheme="minorEastAsia" w:eastAsiaTheme="minorEastAsia"/>
                <w:color w:val="auto"/>
                <w:highlight w:val="none"/>
              </w:rPr>
            </w:pPr>
          </w:p>
        </w:tc>
        <w:tc>
          <w:tcPr>
            <w:tcW w:w="938" w:type="dxa"/>
            <w:vAlign w:val="center"/>
          </w:tcPr>
          <w:p w14:paraId="6020F441">
            <w:pPr>
              <w:jc w:val="center"/>
              <w:rPr>
                <w:rFonts w:hint="eastAsia" w:asciiTheme="minorEastAsia" w:hAnsiTheme="minorEastAsia" w:eastAsiaTheme="minorEastAsia"/>
                <w:color w:val="auto"/>
                <w:sz w:val="24"/>
                <w:highlight w:val="none"/>
              </w:rPr>
            </w:pPr>
          </w:p>
        </w:tc>
      </w:tr>
      <w:tr w14:paraId="3699F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33" w:type="dxa"/>
            <w:vAlign w:val="center"/>
          </w:tcPr>
          <w:p w14:paraId="2A137C89">
            <w:pPr>
              <w:jc w:val="center"/>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p>
        </w:tc>
        <w:tc>
          <w:tcPr>
            <w:tcW w:w="1711" w:type="dxa"/>
            <w:vAlign w:val="center"/>
          </w:tcPr>
          <w:p w14:paraId="489D4EBD">
            <w:pPr>
              <w:jc w:val="center"/>
              <w:rPr>
                <w:rFonts w:hint="eastAsia" w:asciiTheme="minorEastAsia" w:hAnsiTheme="minorEastAsia" w:eastAsiaTheme="minorEastAsia"/>
                <w:color w:val="auto"/>
                <w:sz w:val="24"/>
                <w:highlight w:val="none"/>
              </w:rPr>
            </w:pPr>
          </w:p>
        </w:tc>
        <w:tc>
          <w:tcPr>
            <w:tcW w:w="3141" w:type="dxa"/>
            <w:vAlign w:val="center"/>
          </w:tcPr>
          <w:p w14:paraId="55E280A0">
            <w:pPr>
              <w:jc w:val="center"/>
              <w:rPr>
                <w:rFonts w:hint="eastAsia" w:asciiTheme="minorEastAsia" w:hAnsiTheme="minorEastAsia" w:eastAsiaTheme="minorEastAsia"/>
                <w:color w:val="auto"/>
                <w:sz w:val="24"/>
                <w:highlight w:val="none"/>
              </w:rPr>
            </w:pPr>
          </w:p>
        </w:tc>
        <w:tc>
          <w:tcPr>
            <w:tcW w:w="2722" w:type="dxa"/>
            <w:vAlign w:val="center"/>
          </w:tcPr>
          <w:p w14:paraId="6D6D5D67">
            <w:pPr>
              <w:jc w:val="center"/>
              <w:rPr>
                <w:rFonts w:hint="eastAsia" w:asciiTheme="minorEastAsia" w:hAnsiTheme="minorEastAsia" w:eastAsiaTheme="minorEastAsia"/>
                <w:color w:val="auto"/>
                <w:sz w:val="24"/>
                <w:highlight w:val="none"/>
              </w:rPr>
            </w:pPr>
          </w:p>
        </w:tc>
        <w:tc>
          <w:tcPr>
            <w:tcW w:w="938" w:type="dxa"/>
            <w:vAlign w:val="center"/>
          </w:tcPr>
          <w:p w14:paraId="17A52C1C">
            <w:pPr>
              <w:jc w:val="center"/>
              <w:rPr>
                <w:rFonts w:hint="eastAsia" w:asciiTheme="minorEastAsia" w:hAnsiTheme="minorEastAsia" w:eastAsiaTheme="minorEastAsia"/>
                <w:color w:val="auto"/>
                <w:sz w:val="24"/>
                <w:highlight w:val="none"/>
              </w:rPr>
            </w:pPr>
          </w:p>
        </w:tc>
      </w:tr>
    </w:tbl>
    <w:p w14:paraId="4B0D50F9">
      <w:pPr>
        <w:spacing w:line="360" w:lineRule="auto"/>
        <w:rPr>
          <w:rFonts w:hint="eastAsia" w:ascii="宋体" w:hAnsi="宋体" w:eastAsia="宋体"/>
          <w:color w:val="auto"/>
          <w:sz w:val="24"/>
          <w:highlight w:val="none"/>
        </w:rPr>
      </w:pPr>
      <w:r>
        <w:rPr>
          <w:rFonts w:hint="eastAsia" w:ascii="宋体" w:hAnsi="宋体" w:eastAsia="宋体"/>
          <w:color w:val="auto"/>
          <w:sz w:val="24"/>
          <w:highlight w:val="none"/>
        </w:rPr>
        <w:t>注：投标人在此承诺，除商务响应表和技术响应表列出的偏离外，投标人响应招标文件的全部要求。</w:t>
      </w:r>
    </w:p>
    <w:p w14:paraId="58E83CD8">
      <w:pPr>
        <w:spacing w:line="360" w:lineRule="auto"/>
        <w:ind w:firstLine="4800" w:firstLineChars="2000"/>
        <w:rPr>
          <w:rFonts w:hint="eastAsia" w:ascii="宋体" w:hAnsi="宋体" w:eastAsia="宋体"/>
          <w:color w:val="auto"/>
          <w:sz w:val="24"/>
          <w:highlight w:val="none"/>
        </w:rPr>
      </w:pPr>
    </w:p>
    <w:p w14:paraId="607302E2">
      <w:pPr>
        <w:spacing w:line="360" w:lineRule="auto"/>
        <w:ind w:firstLine="4800" w:firstLineChars="2000"/>
        <w:rPr>
          <w:rFonts w:hint="eastAsia" w:ascii="宋体" w:hAnsi="宋体" w:eastAsia="宋体"/>
          <w:color w:val="auto"/>
          <w:sz w:val="24"/>
          <w:highlight w:val="none"/>
        </w:rPr>
      </w:pPr>
    </w:p>
    <w:p w14:paraId="37427ED4">
      <w:pPr>
        <w:spacing w:line="360" w:lineRule="auto"/>
        <w:ind w:firstLine="4800" w:firstLineChars="2000"/>
        <w:rPr>
          <w:rFonts w:hint="eastAsia" w:ascii="宋体" w:hAnsi="宋体" w:eastAsia="宋体"/>
          <w:color w:val="auto"/>
          <w:sz w:val="24"/>
          <w:highlight w:val="none"/>
          <w:u w:val="single"/>
        </w:rPr>
      </w:pPr>
      <w:r>
        <w:rPr>
          <w:rFonts w:hint="eastAsia" w:ascii="宋体" w:hAnsi="宋体" w:eastAsia="宋体"/>
          <w:color w:val="auto"/>
          <w:sz w:val="24"/>
          <w:highlight w:val="none"/>
        </w:rPr>
        <w:t>投标人电子签章：</w:t>
      </w:r>
      <w:r>
        <w:rPr>
          <w:rFonts w:hint="eastAsia" w:ascii="宋体" w:hAnsi="宋体" w:eastAsia="宋体"/>
          <w:color w:val="auto"/>
          <w:sz w:val="24"/>
          <w:highlight w:val="none"/>
          <w:u w:val="single"/>
        </w:rPr>
        <w:t xml:space="preserve">             </w:t>
      </w:r>
    </w:p>
    <w:p w14:paraId="0D0865FB">
      <w:pPr>
        <w:spacing w:line="360" w:lineRule="auto"/>
        <w:ind w:firstLine="4800" w:firstLineChars="2000"/>
        <w:rPr>
          <w:rFonts w:hint="eastAsia" w:ascii="宋体" w:hAnsi="宋体" w:eastAsia="宋体"/>
          <w:color w:val="auto"/>
          <w:sz w:val="24"/>
          <w:highlight w:val="none"/>
          <w:u w:val="single"/>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p>
    <w:p w14:paraId="163D154B">
      <w:pPr>
        <w:pStyle w:val="13"/>
        <w:spacing w:line="360" w:lineRule="auto"/>
        <w:rPr>
          <w:rFonts w:hint="eastAsia" w:asciiTheme="minorEastAsia" w:hAnsiTheme="minorEastAsia" w:eastAsiaTheme="minorEastAsia"/>
          <w:b w:val="0"/>
          <w:color w:val="auto"/>
          <w:sz w:val="24"/>
          <w:highlight w:val="none"/>
        </w:rPr>
      </w:pPr>
      <w:r>
        <w:rPr>
          <w:rFonts w:asciiTheme="minorEastAsia" w:hAnsiTheme="minorEastAsia" w:eastAsiaTheme="minorEastAsia"/>
          <w:b w:val="0"/>
          <w:color w:val="auto"/>
          <w:sz w:val="24"/>
          <w:highlight w:val="none"/>
        </w:rPr>
        <w:br w:type="page"/>
      </w:r>
    </w:p>
    <w:p w14:paraId="4066A02F">
      <w:pPr>
        <w:spacing w:line="360" w:lineRule="auto"/>
        <w:jc w:val="center"/>
        <w:outlineLvl w:val="1"/>
        <w:rPr>
          <w:rFonts w:hint="eastAsia" w:asciiTheme="minorEastAsia" w:hAnsiTheme="minorEastAsia" w:eastAsiaTheme="minorEastAsia"/>
          <w:b/>
          <w:color w:val="auto"/>
          <w:sz w:val="24"/>
          <w:highlight w:val="none"/>
        </w:rPr>
      </w:pPr>
      <w:bookmarkStart w:id="85" w:name="_Toc11594"/>
      <w:bookmarkStart w:id="86" w:name="_Toc221656374"/>
      <w:bookmarkStart w:id="87" w:name="_Toc31000"/>
      <w:r>
        <w:rPr>
          <w:rFonts w:hint="eastAsia" w:asciiTheme="minorEastAsia" w:hAnsiTheme="minorEastAsia" w:eastAsiaTheme="minorEastAsia"/>
          <w:b/>
          <w:color w:val="auto"/>
          <w:sz w:val="24"/>
          <w:highlight w:val="none"/>
        </w:rPr>
        <w:t>七、联合协议</w:t>
      </w:r>
      <w:bookmarkEnd w:id="85"/>
      <w:bookmarkEnd w:id="86"/>
      <w:bookmarkEnd w:id="87"/>
    </w:p>
    <w:p w14:paraId="3C1BFEEB">
      <w:pPr>
        <w:pStyle w:val="20"/>
        <w:spacing w:line="360" w:lineRule="auto"/>
        <w:rPr>
          <w:rFonts w:hint="eastAsia" w:asciiTheme="minorEastAsia" w:hAnsiTheme="minorEastAsia" w:eastAsiaTheme="minorEastAsia"/>
          <w:color w:val="auto"/>
          <w:sz w:val="24"/>
          <w:highlight w:val="none"/>
        </w:rPr>
      </w:pPr>
      <w:r>
        <w:rPr>
          <w:rFonts w:hint="eastAsia" w:ascii="宋体" w:hAnsi="宋体" w:eastAsia="宋体"/>
          <w:b w:val="0"/>
          <w:i/>
          <w:color w:val="auto"/>
          <w:sz w:val="24"/>
          <w:highlight w:val="none"/>
        </w:rPr>
        <w:t>（本项目不适用）</w:t>
      </w:r>
    </w:p>
    <w:p w14:paraId="190F6107">
      <w:pPr>
        <w:spacing w:line="360" w:lineRule="auto"/>
        <w:ind w:firstLine="435"/>
        <w:rPr>
          <w:rFonts w:hint="eastAsia"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联合体成员一名称：</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7E0A1358">
      <w:pPr>
        <w:spacing w:line="360" w:lineRule="auto"/>
        <w:ind w:firstLine="435"/>
        <w:rPr>
          <w:rFonts w:hint="eastAsia"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联合体成员二名称：</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639513F3">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p>
    <w:p w14:paraId="692B2A37">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上述各成员单位经过友好协商，自愿组成</w:t>
      </w:r>
      <w:r>
        <w:rPr>
          <w:rFonts w:asciiTheme="minorEastAsia" w:hAnsiTheme="minorEastAsia" w:eastAsiaTheme="minorEastAsia"/>
          <w:color w:val="auto"/>
          <w:sz w:val="24"/>
          <w:highlight w:val="none"/>
        </w:rPr>
        <w:t>联合体，共同参加</w:t>
      </w:r>
      <w:r>
        <w:rPr>
          <w:rFonts w:hint="eastAsia" w:asciiTheme="minorEastAsia" w:hAnsiTheme="minorEastAsia" w:eastAsiaTheme="minorEastAsia"/>
          <w:color w:val="auto"/>
          <w:sz w:val="24"/>
          <w:highlight w:val="none"/>
        </w:rPr>
        <w:t>本项目的投标，</w:t>
      </w:r>
      <w:r>
        <w:rPr>
          <w:rFonts w:asciiTheme="minorEastAsia" w:hAnsiTheme="minorEastAsia" w:eastAsiaTheme="minorEastAsia"/>
          <w:color w:val="auto"/>
          <w:sz w:val="24"/>
          <w:highlight w:val="none"/>
        </w:rPr>
        <w:t>现就联合体投标事宜订立如下协议：</w:t>
      </w:r>
    </w:p>
    <w:p w14:paraId="37FF711F">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（成员单位名称）为联合体牵头人。</w:t>
      </w:r>
    </w:p>
    <w:p w14:paraId="5DA396BD">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在本项目投标阶段，联合体牵头人负责投标项目的一切组织、协调工作，并授权代理人以联合体的名义参加项目的投标，代理人在投标、开标、评标、合同签订过程中所签署的一切文件和处理与本次招标有关的一切事务，联合体各方均予以承认并承担法律责任。联合体中标后，联合体各方共同与采购人签订合同，就本项目对采购人承担连带责任。</w:t>
      </w:r>
    </w:p>
    <w:p w14:paraId="67DAC0C0">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.联合体各成员单位内部的职责分工</w:t>
      </w:r>
      <w:r>
        <w:rPr>
          <w:rFonts w:hint="eastAsia" w:asciiTheme="minorEastAsia" w:hAnsiTheme="minorEastAsia" w:eastAsiaTheme="minorEastAsia"/>
          <w:color w:val="auto"/>
          <w:sz w:val="24"/>
          <w:highlight w:val="none"/>
        </w:rPr>
        <w:t>及各方负责内容的合同金额占总合同金额的百分比</w:t>
      </w:r>
      <w:r>
        <w:rPr>
          <w:rFonts w:asciiTheme="minorEastAsia" w:hAnsiTheme="minorEastAsia" w:eastAsiaTheme="minorEastAsia"/>
          <w:color w:val="auto"/>
          <w:sz w:val="24"/>
          <w:highlight w:val="none"/>
        </w:rPr>
        <w:t>如下：</w:t>
      </w:r>
    </w:p>
    <w:p w14:paraId="4E217BC3">
      <w:pPr>
        <w:spacing w:line="360" w:lineRule="auto"/>
        <w:ind w:firstLine="435"/>
        <w:rPr>
          <w:rFonts w:hint="eastAsia"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联合体成员一名称：</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，承担</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工作，负责内容的合同金额占总合同金额的百分比：</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7595C4E6">
      <w:pPr>
        <w:spacing w:line="360" w:lineRule="auto"/>
        <w:ind w:firstLine="435"/>
        <w:rPr>
          <w:rFonts w:hint="eastAsia"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联合体成员二名称：</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，承担</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工作，负责内容的合同金额占总合同金额的百分比：</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0DAF9C53">
      <w:pPr>
        <w:spacing w:line="360" w:lineRule="auto"/>
        <w:ind w:firstLine="435"/>
        <w:rPr>
          <w:rFonts w:hint="eastAsia"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w:t>
      </w:r>
    </w:p>
    <w:p w14:paraId="250CDDDE">
      <w:pPr>
        <w:spacing w:line="360" w:lineRule="auto"/>
        <w:ind w:firstLine="435"/>
        <w:rPr>
          <w:rFonts w:hint="eastAsia"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4．投标工作和联合体在中标后</w:t>
      </w:r>
      <w:r>
        <w:rPr>
          <w:rFonts w:hint="eastAsia" w:asciiTheme="minorEastAsia" w:hAnsiTheme="minorEastAsia" w:eastAsiaTheme="minorEastAsia"/>
          <w:color w:val="auto"/>
          <w:sz w:val="24"/>
          <w:highlight w:val="none"/>
        </w:rPr>
        <w:t>项目</w:t>
      </w:r>
      <w:r>
        <w:rPr>
          <w:rFonts w:asciiTheme="minorEastAsia" w:hAnsiTheme="minorEastAsia" w:eastAsiaTheme="minorEastAsia"/>
          <w:color w:val="auto"/>
          <w:sz w:val="24"/>
          <w:highlight w:val="none"/>
        </w:rPr>
        <w:t>实施过程中的有关费用按各自承担的工作量分摊。</w:t>
      </w:r>
    </w:p>
    <w:p w14:paraId="79A84C96">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5.</w:t>
      </w:r>
      <w:r>
        <w:rPr>
          <w:rFonts w:asciiTheme="minorEastAsia" w:hAnsiTheme="minorEastAsia" w:eastAsiaTheme="minorEastAsia"/>
          <w:color w:val="auto"/>
          <w:sz w:val="24"/>
          <w:highlight w:val="none"/>
        </w:rPr>
        <w:t>联合体中标后，本联合协议是合同的附件，对联合体各成员单位有合同约束力。</w:t>
      </w:r>
    </w:p>
    <w:p w14:paraId="488F0683">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6.</w:t>
      </w:r>
      <w:r>
        <w:rPr>
          <w:rFonts w:asciiTheme="minorEastAsia" w:hAnsiTheme="minorEastAsia" w:eastAsiaTheme="minorEastAsia"/>
          <w:color w:val="auto"/>
          <w:sz w:val="24"/>
          <w:highlight w:val="none"/>
        </w:rPr>
        <w:t>本协议书自签署之日起生效，联合体未中标或者合同履行完毕后自动失效。</w:t>
      </w:r>
    </w:p>
    <w:p w14:paraId="31F99859">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联合体成员一：</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（公章）</w:t>
      </w:r>
    </w:p>
    <w:p w14:paraId="4F56501E">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法定代表人：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（签字或盖章）</w:t>
      </w:r>
    </w:p>
    <w:p w14:paraId="3D4C7B2C">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联合体成员二：</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（公章）</w:t>
      </w:r>
    </w:p>
    <w:p w14:paraId="3A1E0C85">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法定代表人：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（签字或盖章）</w:t>
      </w:r>
    </w:p>
    <w:p w14:paraId="2DD3135F">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p>
    <w:p w14:paraId="159B012D">
      <w:pPr>
        <w:spacing w:line="360" w:lineRule="auto"/>
        <w:ind w:right="480" w:firstLine="4680" w:firstLineChars="195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签订日期:</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年</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月</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日</w:t>
      </w:r>
    </w:p>
    <w:p w14:paraId="7688D0C5">
      <w:pPr>
        <w:rPr>
          <w:rFonts w:hint="eastAsia" w:asciiTheme="minorEastAsia" w:hAnsiTheme="minorEastAsia" w:eastAsiaTheme="minorEastAsia"/>
          <w:color w:val="auto"/>
          <w:sz w:val="28"/>
          <w:highlight w:val="none"/>
        </w:rPr>
      </w:pPr>
      <w:r>
        <w:rPr>
          <w:rFonts w:asciiTheme="minorEastAsia" w:hAnsiTheme="minorEastAsia" w:eastAsiaTheme="minorEastAsia"/>
          <w:color w:val="auto"/>
          <w:sz w:val="28"/>
          <w:highlight w:val="none"/>
        </w:rPr>
        <w:br w:type="page"/>
      </w:r>
    </w:p>
    <w:p w14:paraId="79BE02F5">
      <w:pPr>
        <w:spacing w:line="360" w:lineRule="auto"/>
        <w:jc w:val="center"/>
        <w:outlineLvl w:val="1"/>
        <w:rPr>
          <w:rFonts w:hint="eastAsia" w:asciiTheme="minorEastAsia" w:hAnsiTheme="minorEastAsia" w:eastAsiaTheme="minorEastAsia"/>
          <w:b/>
          <w:color w:val="auto"/>
          <w:sz w:val="24"/>
          <w:highlight w:val="none"/>
        </w:rPr>
      </w:pPr>
      <w:bookmarkStart w:id="88" w:name="_Toc221656375"/>
      <w:bookmarkStart w:id="89" w:name="_Toc11380"/>
      <w:r>
        <w:rPr>
          <w:rFonts w:hint="eastAsia" w:asciiTheme="minorEastAsia" w:hAnsiTheme="minorEastAsia" w:eastAsiaTheme="minorEastAsia"/>
          <w:b/>
          <w:color w:val="auto"/>
          <w:sz w:val="24"/>
          <w:highlight w:val="none"/>
        </w:rPr>
        <w:t>八．拟分包情况说明及分包意向协议</w:t>
      </w:r>
      <w:bookmarkEnd w:id="88"/>
      <w:bookmarkEnd w:id="89"/>
    </w:p>
    <w:p w14:paraId="098478B4">
      <w:pPr>
        <w:pStyle w:val="2"/>
        <w:jc w:val="center"/>
        <w:rPr>
          <w:rFonts w:hint="eastAsia"/>
          <w:iCs/>
          <w:color w:val="auto"/>
          <w:highlight w:val="none"/>
        </w:rPr>
      </w:pPr>
      <w:r>
        <w:rPr>
          <w:rFonts w:hint="eastAsia"/>
          <w:iCs/>
          <w:color w:val="auto"/>
          <w:highlight w:val="none"/>
        </w:rPr>
        <w:t>（</w:t>
      </w:r>
      <w:r>
        <w:rPr>
          <w:rFonts w:hint="eastAsia"/>
          <w:color w:val="auto"/>
          <w:highlight w:val="none"/>
        </w:rPr>
        <w:t>本项目不适用）</w:t>
      </w:r>
    </w:p>
    <w:p w14:paraId="3A174312">
      <w:pPr>
        <w:spacing w:line="360" w:lineRule="auto"/>
        <w:jc w:val="center"/>
        <w:outlineLvl w:val="2"/>
        <w:rPr>
          <w:rFonts w:hint="eastAsia"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（一）拟分包情况说明</w:t>
      </w:r>
    </w:p>
    <w:p w14:paraId="2974CD6D">
      <w:pPr>
        <w:pStyle w:val="13"/>
        <w:spacing w:line="360" w:lineRule="auto"/>
        <w:rPr>
          <w:rFonts w:hint="eastAsia" w:ascii="宋体" w:hAnsi="宋体"/>
          <w:b w:val="0"/>
          <w:bCs/>
          <w:color w:val="auto"/>
          <w:sz w:val="24"/>
          <w:highlight w:val="none"/>
          <w:u w:val="single"/>
        </w:rPr>
      </w:pPr>
      <w:r>
        <w:rPr>
          <w:rFonts w:hint="eastAsia" w:ascii="宋体" w:hAnsi="宋体"/>
          <w:b w:val="0"/>
          <w:bCs/>
          <w:color w:val="auto"/>
          <w:sz w:val="24"/>
          <w:highlight w:val="none"/>
        </w:rPr>
        <w:t>致：</w:t>
      </w:r>
      <w:r>
        <w:rPr>
          <w:rFonts w:hint="eastAsia" w:ascii="宋体" w:hAnsi="宋体"/>
          <w:b w:val="0"/>
          <w:bCs/>
          <w:color w:val="auto"/>
          <w:sz w:val="24"/>
          <w:highlight w:val="none"/>
          <w:u w:val="single"/>
        </w:rPr>
        <w:t xml:space="preserve">   （采购人全称）</w:t>
      </w:r>
    </w:p>
    <w:p w14:paraId="00F997CF">
      <w:pPr>
        <w:pStyle w:val="2"/>
        <w:ind w:firstLine="468"/>
        <w:rPr>
          <w:rFonts w:hint="eastAsia" w:cs="宋体"/>
          <w:b w:val="0"/>
          <w:bCs/>
          <w:color w:val="auto"/>
          <w:highlight w:val="none"/>
        </w:rPr>
      </w:pPr>
      <w:r>
        <w:rPr>
          <w:rFonts w:hint="eastAsia" w:cs="宋体"/>
          <w:b w:val="0"/>
          <w:bCs/>
          <w:color w:val="auto"/>
          <w:spacing w:val="-3"/>
          <w:highlight w:val="none"/>
        </w:rPr>
        <w:t>我单位参加本项目</w:t>
      </w:r>
      <w:r>
        <w:rPr>
          <w:rFonts w:hint="eastAsia"/>
          <w:b w:val="0"/>
          <w:bCs/>
          <w:color w:val="auto"/>
          <w:highlight w:val="none"/>
        </w:rPr>
        <w:t>投标，拟签订分包合同的单位情况如下表所示，我单位承诺一旦在该项目中获得采购合同将按下表所列情况进行分包，同时承诺分包承担主体不再次分包。</w:t>
      </w:r>
    </w:p>
    <w:tbl>
      <w:tblPr>
        <w:tblStyle w:val="60"/>
        <w:tblW w:w="9111" w:type="dxa"/>
        <w:tblInd w:w="-7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63"/>
        <w:gridCol w:w="1286"/>
        <w:gridCol w:w="1684"/>
        <w:gridCol w:w="1122"/>
        <w:gridCol w:w="1390"/>
        <w:gridCol w:w="1497"/>
        <w:gridCol w:w="1569"/>
      </w:tblGrid>
      <w:tr w14:paraId="5D1EF8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3" w:hRule="atLeast"/>
        </w:trPr>
        <w:tc>
          <w:tcPr>
            <w:tcW w:w="563" w:type="dxa"/>
            <w:textDirection w:val="tbRlV"/>
            <w:vAlign w:val="center"/>
          </w:tcPr>
          <w:p w14:paraId="02417F13">
            <w:pPr>
              <w:ind w:left="170" w:right="164"/>
              <w:jc w:val="center"/>
              <w:rPr>
                <w:rFonts w:hint="eastAsia" w:ascii="宋体" w:hAnsi="宋体" w:eastAsia="宋体" w:cs="宋体"/>
                <w:bCs/>
                <w:color w:val="auto"/>
                <w:spacing w:val="-4"/>
                <w:sz w:val="24"/>
                <w:szCs w:val="24"/>
                <w:highlight w:val="none"/>
              </w:rPr>
            </w:pPr>
            <w:r>
              <w:rPr>
                <w:rFonts w:hint="eastAsia" w:ascii="宋体" w:hAnsi="宋体" w:eastAsia="宋体" w:cs="宋体"/>
                <w:bCs/>
                <w:color w:val="auto"/>
                <w:spacing w:val="-4"/>
                <w:sz w:val="24"/>
                <w:szCs w:val="24"/>
                <w:highlight w:val="none"/>
              </w:rPr>
              <w:t>序号</w:t>
            </w:r>
          </w:p>
        </w:tc>
        <w:tc>
          <w:tcPr>
            <w:tcW w:w="1286" w:type="dxa"/>
            <w:vAlign w:val="center"/>
          </w:tcPr>
          <w:p w14:paraId="25B4A916">
            <w:pPr>
              <w:ind w:left="170" w:right="164"/>
              <w:jc w:val="center"/>
              <w:rPr>
                <w:rFonts w:hint="eastAsia" w:ascii="宋体" w:hAnsi="宋体" w:eastAsia="宋体" w:cs="宋体"/>
                <w:bCs/>
                <w:color w:val="auto"/>
                <w:spacing w:val="-4"/>
                <w:sz w:val="24"/>
                <w:szCs w:val="24"/>
                <w:highlight w:val="none"/>
              </w:rPr>
            </w:pPr>
            <w:r>
              <w:rPr>
                <w:rFonts w:hint="eastAsia" w:ascii="宋体" w:hAnsi="宋体" w:eastAsia="宋体" w:cs="宋体"/>
                <w:bCs/>
                <w:color w:val="auto"/>
                <w:spacing w:val="-4"/>
                <w:sz w:val="24"/>
                <w:szCs w:val="24"/>
                <w:highlight w:val="none"/>
              </w:rPr>
              <w:t>分包承担主体名称</w:t>
            </w:r>
          </w:p>
        </w:tc>
        <w:tc>
          <w:tcPr>
            <w:tcW w:w="1684" w:type="dxa"/>
            <w:vAlign w:val="center"/>
          </w:tcPr>
          <w:p w14:paraId="1EC78446">
            <w:pPr>
              <w:ind w:left="170" w:right="164"/>
              <w:jc w:val="center"/>
              <w:rPr>
                <w:rFonts w:hint="eastAsia" w:ascii="宋体" w:hAnsi="宋体" w:eastAsia="宋体" w:cs="宋体"/>
                <w:bCs/>
                <w:color w:val="auto"/>
                <w:spacing w:val="-4"/>
                <w:sz w:val="24"/>
                <w:szCs w:val="24"/>
                <w:highlight w:val="none"/>
              </w:rPr>
            </w:pPr>
            <w:r>
              <w:rPr>
                <w:rFonts w:hint="eastAsia" w:ascii="宋体" w:hAnsi="宋体" w:eastAsia="宋体" w:cs="宋体"/>
                <w:bCs/>
                <w:color w:val="auto"/>
                <w:spacing w:val="-4"/>
                <w:sz w:val="24"/>
                <w:szCs w:val="24"/>
                <w:highlight w:val="none"/>
              </w:rPr>
              <w:t>分包承担主体类型（选择）</w:t>
            </w:r>
          </w:p>
        </w:tc>
        <w:tc>
          <w:tcPr>
            <w:tcW w:w="1122" w:type="dxa"/>
            <w:vAlign w:val="center"/>
          </w:tcPr>
          <w:p w14:paraId="672A435D">
            <w:pPr>
              <w:ind w:left="170" w:right="164"/>
              <w:jc w:val="center"/>
              <w:rPr>
                <w:rFonts w:hint="eastAsia" w:ascii="宋体" w:hAnsi="宋体" w:eastAsia="宋体" w:cs="宋体"/>
                <w:bCs/>
                <w:color w:val="auto"/>
                <w:spacing w:val="-4"/>
                <w:sz w:val="24"/>
                <w:szCs w:val="24"/>
                <w:highlight w:val="none"/>
              </w:rPr>
            </w:pPr>
            <w:r>
              <w:rPr>
                <w:rFonts w:hint="eastAsia" w:ascii="宋体" w:hAnsi="宋体" w:eastAsia="宋体" w:cs="宋体"/>
                <w:bCs/>
                <w:color w:val="auto"/>
                <w:spacing w:val="-4"/>
                <w:sz w:val="24"/>
                <w:szCs w:val="24"/>
                <w:highlight w:val="none"/>
              </w:rPr>
              <w:t>资质等级</w:t>
            </w:r>
          </w:p>
        </w:tc>
        <w:tc>
          <w:tcPr>
            <w:tcW w:w="1390" w:type="dxa"/>
            <w:vAlign w:val="center"/>
          </w:tcPr>
          <w:p w14:paraId="5B672561">
            <w:pPr>
              <w:ind w:left="170" w:right="164"/>
              <w:jc w:val="center"/>
              <w:rPr>
                <w:rFonts w:hint="eastAsia" w:ascii="宋体" w:hAnsi="宋体" w:eastAsia="宋体" w:cs="宋体"/>
                <w:bCs/>
                <w:color w:val="auto"/>
                <w:spacing w:val="-4"/>
                <w:sz w:val="24"/>
                <w:szCs w:val="24"/>
                <w:highlight w:val="none"/>
              </w:rPr>
            </w:pPr>
            <w:r>
              <w:rPr>
                <w:rFonts w:hint="eastAsia" w:ascii="宋体" w:hAnsi="宋体" w:eastAsia="宋体" w:cs="宋体"/>
                <w:bCs/>
                <w:color w:val="auto"/>
                <w:spacing w:val="-4"/>
                <w:sz w:val="24"/>
                <w:szCs w:val="24"/>
                <w:highlight w:val="none"/>
              </w:rPr>
              <w:t>拟分包合同内容</w:t>
            </w:r>
          </w:p>
        </w:tc>
        <w:tc>
          <w:tcPr>
            <w:tcW w:w="1497" w:type="dxa"/>
            <w:vAlign w:val="center"/>
          </w:tcPr>
          <w:p w14:paraId="1F11F3A0">
            <w:pPr>
              <w:ind w:left="170" w:right="164"/>
              <w:jc w:val="center"/>
              <w:rPr>
                <w:rFonts w:hint="eastAsia" w:ascii="宋体" w:hAnsi="宋体" w:eastAsia="宋体" w:cs="宋体"/>
                <w:bCs/>
                <w:color w:val="auto"/>
                <w:spacing w:val="-4"/>
                <w:sz w:val="24"/>
                <w:szCs w:val="24"/>
                <w:highlight w:val="none"/>
              </w:rPr>
            </w:pPr>
            <w:r>
              <w:rPr>
                <w:rFonts w:hint="eastAsia" w:ascii="宋体" w:hAnsi="宋体" w:eastAsia="宋体" w:cs="宋体"/>
                <w:bCs/>
                <w:color w:val="auto"/>
                <w:spacing w:val="-4"/>
                <w:sz w:val="24"/>
                <w:szCs w:val="24"/>
                <w:highlight w:val="none"/>
              </w:rPr>
              <w:t>拟分包合同金额（人民币元）</w:t>
            </w:r>
          </w:p>
        </w:tc>
        <w:tc>
          <w:tcPr>
            <w:tcW w:w="1569" w:type="dxa"/>
            <w:vAlign w:val="center"/>
          </w:tcPr>
          <w:p w14:paraId="0EBBFE7F">
            <w:pPr>
              <w:ind w:left="170" w:right="164"/>
              <w:jc w:val="center"/>
              <w:rPr>
                <w:rFonts w:hint="eastAsia" w:ascii="宋体" w:hAnsi="宋体" w:eastAsia="宋体" w:cs="宋体"/>
                <w:bCs/>
                <w:color w:val="auto"/>
                <w:spacing w:val="-4"/>
                <w:sz w:val="24"/>
                <w:szCs w:val="24"/>
                <w:highlight w:val="none"/>
              </w:rPr>
            </w:pPr>
            <w:r>
              <w:rPr>
                <w:rFonts w:hint="eastAsia" w:ascii="宋体" w:hAnsi="宋体" w:eastAsia="宋体" w:cs="宋体"/>
                <w:bCs/>
                <w:color w:val="auto"/>
                <w:spacing w:val="-4"/>
                <w:sz w:val="24"/>
                <w:szCs w:val="24"/>
                <w:highlight w:val="none"/>
              </w:rPr>
              <w:t>占合同金额的比例（%）</w:t>
            </w:r>
          </w:p>
        </w:tc>
      </w:tr>
      <w:tr w14:paraId="13CCF0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7" w:hRule="atLeast"/>
        </w:trPr>
        <w:tc>
          <w:tcPr>
            <w:tcW w:w="563" w:type="dxa"/>
            <w:vAlign w:val="center"/>
          </w:tcPr>
          <w:p w14:paraId="0831E55C">
            <w:pPr>
              <w:pStyle w:val="61"/>
              <w:spacing w:before="69" w:line="199" w:lineRule="auto"/>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w:t>
            </w:r>
          </w:p>
        </w:tc>
        <w:tc>
          <w:tcPr>
            <w:tcW w:w="1286" w:type="dxa"/>
            <w:vAlign w:val="center"/>
          </w:tcPr>
          <w:p w14:paraId="7D38AD5F">
            <w:pPr>
              <w:pStyle w:val="61"/>
              <w:rPr>
                <w:rFonts w:hint="eastAsia" w:ascii="宋体" w:hAnsi="宋体" w:eastAsia="宋体" w:cs="宋体"/>
                <w:bCs/>
                <w:color w:val="auto"/>
                <w:highlight w:val="none"/>
              </w:rPr>
            </w:pPr>
          </w:p>
        </w:tc>
        <w:tc>
          <w:tcPr>
            <w:tcW w:w="1684" w:type="dxa"/>
            <w:vAlign w:val="center"/>
          </w:tcPr>
          <w:p w14:paraId="02600323">
            <w:pPr>
              <w:pStyle w:val="61"/>
              <w:spacing w:before="37" w:line="221" w:lineRule="auto"/>
              <w:ind w:left="134"/>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pacing w:val="11"/>
                <w:sz w:val="24"/>
                <w:szCs w:val="24"/>
                <w:highlight w:val="none"/>
                <w:lang w:eastAsia="zh-CN"/>
              </w:rPr>
              <w:t>□中型企业</w:t>
            </w:r>
          </w:p>
          <w:p w14:paraId="3864FF4D">
            <w:pPr>
              <w:pStyle w:val="61"/>
              <w:spacing w:before="22" w:line="223" w:lineRule="auto"/>
              <w:ind w:left="373" w:right="208" w:hanging="239"/>
              <w:rPr>
                <w:rFonts w:hint="eastAsia" w:ascii="宋体" w:hAnsi="宋体" w:eastAsia="宋体" w:cs="宋体"/>
                <w:bCs/>
                <w:color w:val="auto"/>
                <w:spacing w:val="11"/>
                <w:sz w:val="24"/>
                <w:szCs w:val="24"/>
                <w:highlight w:val="none"/>
                <w:lang w:eastAsia="zh-CN"/>
              </w:rPr>
            </w:pPr>
            <w:r>
              <w:rPr>
                <w:rFonts w:hint="eastAsia" w:ascii="宋体" w:hAnsi="宋体" w:eastAsia="宋体" w:cs="宋体"/>
                <w:bCs/>
                <w:color w:val="auto"/>
                <w:spacing w:val="11"/>
                <w:sz w:val="24"/>
                <w:szCs w:val="24"/>
                <w:highlight w:val="none"/>
                <w:lang w:eastAsia="zh-CN"/>
              </w:rPr>
              <w:t>□小微企业</w:t>
            </w:r>
          </w:p>
          <w:p w14:paraId="15A2FF8D">
            <w:pPr>
              <w:pStyle w:val="61"/>
              <w:spacing w:before="22" w:line="223" w:lineRule="auto"/>
              <w:ind w:left="373" w:right="208" w:hanging="239"/>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pacing w:val="19"/>
                <w:sz w:val="24"/>
                <w:szCs w:val="24"/>
                <w:highlight w:val="none"/>
                <w:lang w:eastAsia="zh-CN"/>
              </w:rPr>
              <w:t>□其他</w:t>
            </w:r>
          </w:p>
        </w:tc>
        <w:tc>
          <w:tcPr>
            <w:tcW w:w="1122" w:type="dxa"/>
            <w:vAlign w:val="center"/>
          </w:tcPr>
          <w:p w14:paraId="29326EC9">
            <w:pPr>
              <w:pStyle w:val="61"/>
              <w:rPr>
                <w:rFonts w:hint="eastAsia" w:ascii="宋体" w:hAnsi="宋体" w:eastAsia="宋体" w:cs="宋体"/>
                <w:bCs/>
                <w:color w:val="auto"/>
                <w:highlight w:val="none"/>
                <w:lang w:eastAsia="zh-CN"/>
              </w:rPr>
            </w:pPr>
          </w:p>
        </w:tc>
        <w:tc>
          <w:tcPr>
            <w:tcW w:w="1390" w:type="dxa"/>
            <w:vAlign w:val="center"/>
          </w:tcPr>
          <w:p w14:paraId="0ED0CF18">
            <w:pPr>
              <w:pStyle w:val="61"/>
              <w:rPr>
                <w:rFonts w:hint="eastAsia" w:ascii="宋体" w:hAnsi="宋体" w:eastAsia="宋体" w:cs="宋体"/>
                <w:bCs/>
                <w:color w:val="auto"/>
                <w:highlight w:val="none"/>
                <w:lang w:eastAsia="zh-CN"/>
              </w:rPr>
            </w:pPr>
          </w:p>
        </w:tc>
        <w:tc>
          <w:tcPr>
            <w:tcW w:w="1497" w:type="dxa"/>
            <w:vAlign w:val="center"/>
          </w:tcPr>
          <w:p w14:paraId="7BA5766D">
            <w:pPr>
              <w:pStyle w:val="61"/>
              <w:rPr>
                <w:rFonts w:hint="eastAsia" w:ascii="宋体" w:hAnsi="宋体" w:eastAsia="宋体" w:cs="宋体"/>
                <w:bCs/>
                <w:color w:val="auto"/>
                <w:highlight w:val="none"/>
                <w:lang w:eastAsia="zh-CN"/>
              </w:rPr>
            </w:pPr>
          </w:p>
        </w:tc>
        <w:tc>
          <w:tcPr>
            <w:tcW w:w="1569" w:type="dxa"/>
            <w:vAlign w:val="center"/>
          </w:tcPr>
          <w:p w14:paraId="15BD21F8">
            <w:pPr>
              <w:pStyle w:val="61"/>
              <w:rPr>
                <w:rFonts w:hint="eastAsia" w:ascii="宋体" w:hAnsi="宋体" w:eastAsia="宋体" w:cs="宋体"/>
                <w:bCs/>
                <w:color w:val="auto"/>
                <w:highlight w:val="none"/>
                <w:lang w:eastAsia="zh-CN"/>
              </w:rPr>
            </w:pPr>
          </w:p>
        </w:tc>
      </w:tr>
      <w:tr w14:paraId="15DBA3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22" w:hRule="atLeast"/>
        </w:trPr>
        <w:tc>
          <w:tcPr>
            <w:tcW w:w="563" w:type="dxa"/>
            <w:vAlign w:val="center"/>
          </w:tcPr>
          <w:p w14:paraId="381FFFB9">
            <w:pPr>
              <w:pStyle w:val="61"/>
              <w:spacing w:before="69" w:line="201" w:lineRule="auto"/>
              <w:jc w:val="center"/>
              <w:rPr>
                <w:rFonts w:hint="eastAsia" w:ascii="宋体" w:hAnsi="宋体" w:eastAsia="宋体" w:cs="宋体"/>
                <w:bCs/>
                <w:color w:val="auto"/>
                <w:sz w:val="24"/>
                <w:szCs w:val="24"/>
                <w:highlight w:val="none"/>
              </w:rPr>
            </w:pPr>
            <w:r>
              <w:rPr>
                <w:rFonts w:hint="eastAsia" w:ascii="宋体" w:hAnsi="宋体" w:eastAsia="宋体" w:cs="宋体"/>
                <w:bCs/>
                <w:color w:val="auto"/>
                <w:spacing w:val="1"/>
                <w:sz w:val="24"/>
                <w:szCs w:val="24"/>
                <w:highlight w:val="none"/>
              </w:rPr>
              <w:t>2</w:t>
            </w:r>
          </w:p>
        </w:tc>
        <w:tc>
          <w:tcPr>
            <w:tcW w:w="1286" w:type="dxa"/>
            <w:vAlign w:val="center"/>
          </w:tcPr>
          <w:p w14:paraId="3EA2403D">
            <w:pPr>
              <w:pStyle w:val="61"/>
              <w:rPr>
                <w:rFonts w:hint="eastAsia" w:ascii="宋体" w:hAnsi="宋体" w:eastAsia="宋体" w:cs="宋体"/>
                <w:bCs/>
                <w:color w:val="auto"/>
                <w:highlight w:val="none"/>
              </w:rPr>
            </w:pPr>
          </w:p>
        </w:tc>
        <w:tc>
          <w:tcPr>
            <w:tcW w:w="1684" w:type="dxa"/>
            <w:vAlign w:val="center"/>
          </w:tcPr>
          <w:p w14:paraId="71872A71">
            <w:pPr>
              <w:pStyle w:val="61"/>
              <w:spacing w:before="38" w:line="221" w:lineRule="auto"/>
              <w:ind w:left="134"/>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pacing w:val="11"/>
                <w:sz w:val="24"/>
                <w:szCs w:val="24"/>
                <w:highlight w:val="none"/>
                <w:lang w:eastAsia="zh-CN"/>
              </w:rPr>
              <w:t>□中型企业</w:t>
            </w:r>
          </w:p>
          <w:p w14:paraId="6974196C">
            <w:pPr>
              <w:pStyle w:val="61"/>
              <w:spacing w:before="25" w:line="222" w:lineRule="auto"/>
              <w:ind w:left="373" w:right="208" w:hanging="239"/>
              <w:rPr>
                <w:rFonts w:hint="eastAsia" w:ascii="宋体" w:hAnsi="宋体" w:eastAsia="宋体" w:cs="宋体"/>
                <w:bCs/>
                <w:color w:val="auto"/>
                <w:spacing w:val="11"/>
                <w:sz w:val="24"/>
                <w:szCs w:val="24"/>
                <w:highlight w:val="none"/>
                <w:lang w:eastAsia="zh-CN"/>
              </w:rPr>
            </w:pPr>
            <w:r>
              <w:rPr>
                <w:rFonts w:hint="eastAsia" w:ascii="宋体" w:hAnsi="宋体" w:eastAsia="宋体" w:cs="宋体"/>
                <w:bCs/>
                <w:color w:val="auto"/>
                <w:spacing w:val="11"/>
                <w:sz w:val="24"/>
                <w:szCs w:val="24"/>
                <w:highlight w:val="none"/>
                <w:lang w:eastAsia="zh-CN"/>
              </w:rPr>
              <w:t>□小微企业</w:t>
            </w:r>
          </w:p>
          <w:p w14:paraId="2600457D">
            <w:pPr>
              <w:pStyle w:val="61"/>
              <w:spacing w:before="25" w:line="222" w:lineRule="auto"/>
              <w:ind w:left="373" w:right="208" w:hanging="239"/>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pacing w:val="19"/>
                <w:sz w:val="24"/>
                <w:szCs w:val="24"/>
                <w:highlight w:val="none"/>
                <w:lang w:eastAsia="zh-CN"/>
              </w:rPr>
              <w:t>□其他</w:t>
            </w:r>
          </w:p>
        </w:tc>
        <w:tc>
          <w:tcPr>
            <w:tcW w:w="1122" w:type="dxa"/>
            <w:vAlign w:val="center"/>
          </w:tcPr>
          <w:p w14:paraId="73768C8C">
            <w:pPr>
              <w:pStyle w:val="61"/>
              <w:rPr>
                <w:rFonts w:hint="eastAsia" w:ascii="宋体" w:hAnsi="宋体" w:eastAsia="宋体" w:cs="宋体"/>
                <w:bCs/>
                <w:color w:val="auto"/>
                <w:highlight w:val="none"/>
                <w:lang w:eastAsia="zh-CN"/>
              </w:rPr>
            </w:pPr>
          </w:p>
        </w:tc>
        <w:tc>
          <w:tcPr>
            <w:tcW w:w="1390" w:type="dxa"/>
            <w:vAlign w:val="center"/>
          </w:tcPr>
          <w:p w14:paraId="25FAC348">
            <w:pPr>
              <w:pStyle w:val="61"/>
              <w:rPr>
                <w:rFonts w:hint="eastAsia" w:ascii="宋体" w:hAnsi="宋体" w:eastAsia="宋体" w:cs="宋体"/>
                <w:bCs/>
                <w:color w:val="auto"/>
                <w:highlight w:val="none"/>
                <w:lang w:eastAsia="zh-CN"/>
              </w:rPr>
            </w:pPr>
          </w:p>
        </w:tc>
        <w:tc>
          <w:tcPr>
            <w:tcW w:w="1497" w:type="dxa"/>
            <w:vAlign w:val="center"/>
          </w:tcPr>
          <w:p w14:paraId="202274B4">
            <w:pPr>
              <w:pStyle w:val="61"/>
              <w:rPr>
                <w:rFonts w:hint="eastAsia" w:ascii="宋体" w:hAnsi="宋体" w:eastAsia="宋体" w:cs="宋体"/>
                <w:bCs/>
                <w:color w:val="auto"/>
                <w:highlight w:val="none"/>
                <w:lang w:eastAsia="zh-CN"/>
              </w:rPr>
            </w:pPr>
          </w:p>
        </w:tc>
        <w:tc>
          <w:tcPr>
            <w:tcW w:w="1569" w:type="dxa"/>
            <w:vAlign w:val="center"/>
          </w:tcPr>
          <w:p w14:paraId="64E3E52C">
            <w:pPr>
              <w:pStyle w:val="61"/>
              <w:rPr>
                <w:rFonts w:hint="eastAsia" w:ascii="宋体" w:hAnsi="宋体" w:eastAsia="宋体" w:cs="宋体"/>
                <w:bCs/>
                <w:color w:val="auto"/>
                <w:highlight w:val="none"/>
                <w:lang w:eastAsia="zh-CN"/>
              </w:rPr>
            </w:pPr>
          </w:p>
        </w:tc>
      </w:tr>
      <w:tr w14:paraId="391695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563" w:type="dxa"/>
            <w:vAlign w:val="center"/>
          </w:tcPr>
          <w:p w14:paraId="2613898D">
            <w:pPr>
              <w:pStyle w:val="61"/>
              <w:spacing w:before="69" w:line="81" w:lineRule="exact"/>
              <w:jc w:val="center"/>
              <w:rPr>
                <w:rFonts w:hint="eastAsia" w:ascii="宋体" w:hAnsi="宋体" w:eastAsia="宋体" w:cs="宋体"/>
                <w:bCs/>
                <w:color w:val="auto"/>
                <w:sz w:val="24"/>
                <w:szCs w:val="24"/>
                <w:highlight w:val="none"/>
              </w:rPr>
            </w:pPr>
            <w:r>
              <w:rPr>
                <w:rFonts w:hint="eastAsia" w:ascii="宋体" w:hAnsi="宋体" w:eastAsia="宋体" w:cs="宋体"/>
                <w:bCs/>
                <w:color w:val="auto"/>
                <w:position w:val="1"/>
                <w:sz w:val="24"/>
                <w:szCs w:val="24"/>
                <w:highlight w:val="none"/>
              </w:rPr>
              <w:t>…</w:t>
            </w:r>
          </w:p>
        </w:tc>
        <w:tc>
          <w:tcPr>
            <w:tcW w:w="1286" w:type="dxa"/>
            <w:vAlign w:val="center"/>
          </w:tcPr>
          <w:p w14:paraId="5690A6E2">
            <w:pPr>
              <w:pStyle w:val="61"/>
              <w:rPr>
                <w:rFonts w:hint="eastAsia" w:ascii="宋体" w:hAnsi="宋体" w:eastAsia="宋体" w:cs="宋体"/>
                <w:bCs/>
                <w:color w:val="auto"/>
                <w:highlight w:val="none"/>
              </w:rPr>
            </w:pPr>
          </w:p>
        </w:tc>
        <w:tc>
          <w:tcPr>
            <w:tcW w:w="1684" w:type="dxa"/>
            <w:vAlign w:val="center"/>
          </w:tcPr>
          <w:p w14:paraId="065F22F1">
            <w:pPr>
              <w:pStyle w:val="61"/>
              <w:rPr>
                <w:rFonts w:hint="eastAsia" w:ascii="宋体" w:hAnsi="宋体" w:eastAsia="宋体" w:cs="宋体"/>
                <w:bCs/>
                <w:color w:val="auto"/>
                <w:highlight w:val="none"/>
              </w:rPr>
            </w:pPr>
          </w:p>
        </w:tc>
        <w:tc>
          <w:tcPr>
            <w:tcW w:w="1122" w:type="dxa"/>
            <w:vAlign w:val="center"/>
          </w:tcPr>
          <w:p w14:paraId="0ACC2E2D">
            <w:pPr>
              <w:pStyle w:val="61"/>
              <w:rPr>
                <w:rFonts w:hint="eastAsia" w:ascii="宋体" w:hAnsi="宋体" w:eastAsia="宋体" w:cs="宋体"/>
                <w:bCs/>
                <w:color w:val="auto"/>
                <w:highlight w:val="none"/>
              </w:rPr>
            </w:pPr>
          </w:p>
        </w:tc>
        <w:tc>
          <w:tcPr>
            <w:tcW w:w="1390" w:type="dxa"/>
            <w:vAlign w:val="center"/>
          </w:tcPr>
          <w:p w14:paraId="561437C8">
            <w:pPr>
              <w:pStyle w:val="61"/>
              <w:rPr>
                <w:rFonts w:hint="eastAsia" w:ascii="宋体" w:hAnsi="宋体" w:eastAsia="宋体" w:cs="宋体"/>
                <w:bCs/>
                <w:color w:val="auto"/>
                <w:highlight w:val="none"/>
              </w:rPr>
            </w:pPr>
          </w:p>
        </w:tc>
        <w:tc>
          <w:tcPr>
            <w:tcW w:w="1497" w:type="dxa"/>
            <w:vAlign w:val="center"/>
          </w:tcPr>
          <w:p w14:paraId="60ACDFC7">
            <w:pPr>
              <w:pStyle w:val="61"/>
              <w:rPr>
                <w:rFonts w:hint="eastAsia" w:ascii="宋体" w:hAnsi="宋体" w:eastAsia="宋体" w:cs="宋体"/>
                <w:bCs/>
                <w:color w:val="auto"/>
                <w:highlight w:val="none"/>
              </w:rPr>
            </w:pPr>
          </w:p>
        </w:tc>
        <w:tc>
          <w:tcPr>
            <w:tcW w:w="1569" w:type="dxa"/>
            <w:vAlign w:val="center"/>
          </w:tcPr>
          <w:p w14:paraId="6311B340">
            <w:pPr>
              <w:pStyle w:val="61"/>
              <w:rPr>
                <w:rFonts w:hint="eastAsia" w:ascii="宋体" w:hAnsi="宋体" w:eastAsia="宋体" w:cs="宋体"/>
                <w:bCs/>
                <w:color w:val="auto"/>
                <w:highlight w:val="none"/>
              </w:rPr>
            </w:pPr>
          </w:p>
        </w:tc>
      </w:tr>
      <w:tr w14:paraId="4A6C6F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6045" w:type="dxa"/>
            <w:gridSpan w:val="5"/>
            <w:vAlign w:val="center"/>
          </w:tcPr>
          <w:p w14:paraId="3281E88F">
            <w:pPr>
              <w:spacing w:before="193" w:line="222" w:lineRule="auto"/>
              <w:ind w:left="5170"/>
              <w:rPr>
                <w:rFonts w:hint="eastAsia" w:ascii="宋体" w:hAnsi="宋体" w:eastAsia="宋体" w:cs="宋体"/>
                <w:bCs/>
                <w:color w:val="auto"/>
                <w:sz w:val="24"/>
                <w:szCs w:val="24"/>
                <w:highlight w:val="none"/>
              </w:rPr>
            </w:pPr>
            <w:r>
              <w:rPr>
                <w:rFonts w:hint="eastAsia" w:ascii="宋体" w:hAnsi="宋体" w:eastAsia="宋体" w:cs="宋体"/>
                <w:bCs/>
                <w:color w:val="auto"/>
                <w:spacing w:val="-15"/>
                <w:sz w:val="24"/>
                <w:szCs w:val="24"/>
                <w:highlight w:val="none"/>
              </w:rPr>
              <w:t>合计：</w:t>
            </w:r>
          </w:p>
        </w:tc>
        <w:tc>
          <w:tcPr>
            <w:tcW w:w="1497" w:type="dxa"/>
            <w:vAlign w:val="center"/>
          </w:tcPr>
          <w:p w14:paraId="3CC3726B">
            <w:pPr>
              <w:pStyle w:val="61"/>
              <w:rPr>
                <w:rFonts w:hint="eastAsia" w:ascii="宋体" w:hAnsi="宋体" w:eastAsia="宋体" w:cs="宋体"/>
                <w:bCs/>
                <w:color w:val="auto"/>
                <w:highlight w:val="none"/>
              </w:rPr>
            </w:pPr>
          </w:p>
        </w:tc>
        <w:tc>
          <w:tcPr>
            <w:tcW w:w="1569" w:type="dxa"/>
            <w:vAlign w:val="center"/>
          </w:tcPr>
          <w:p w14:paraId="31093CC0">
            <w:pPr>
              <w:pStyle w:val="61"/>
              <w:rPr>
                <w:rFonts w:hint="eastAsia" w:ascii="宋体" w:hAnsi="宋体" w:eastAsia="宋体" w:cs="宋体"/>
                <w:bCs/>
                <w:color w:val="auto"/>
                <w:highlight w:val="none"/>
              </w:rPr>
            </w:pPr>
          </w:p>
        </w:tc>
      </w:tr>
    </w:tbl>
    <w:p w14:paraId="3CF80B10">
      <w:pPr>
        <w:spacing w:line="272" w:lineRule="auto"/>
        <w:rPr>
          <w:rFonts w:hint="eastAsia" w:ascii="宋体" w:hAnsi="宋体" w:eastAsia="宋体" w:cs="宋体"/>
          <w:bCs/>
          <w:color w:val="auto"/>
          <w:highlight w:val="none"/>
        </w:rPr>
      </w:pPr>
    </w:p>
    <w:p w14:paraId="12CD2FF8">
      <w:pPr>
        <w:spacing w:line="360" w:lineRule="auto"/>
        <w:ind w:firstLine="4800" w:firstLineChars="2000"/>
        <w:rPr>
          <w:rFonts w:hint="eastAsia" w:ascii="宋体" w:hAnsi="宋体" w:eastAsia="宋体"/>
          <w:bCs/>
          <w:color w:val="auto"/>
          <w:sz w:val="24"/>
          <w:highlight w:val="none"/>
          <w:u w:val="single"/>
        </w:rPr>
      </w:pPr>
      <w:r>
        <w:rPr>
          <w:rFonts w:hint="eastAsia" w:ascii="宋体" w:hAnsi="宋体" w:eastAsia="宋体"/>
          <w:bCs/>
          <w:color w:val="auto"/>
          <w:sz w:val="24"/>
          <w:highlight w:val="none"/>
        </w:rPr>
        <w:t>投标人电子签章：</w:t>
      </w:r>
      <w:r>
        <w:rPr>
          <w:rFonts w:hint="eastAsia" w:ascii="宋体" w:hAnsi="宋体" w:eastAsia="宋体"/>
          <w:bCs/>
          <w:color w:val="auto"/>
          <w:sz w:val="24"/>
          <w:highlight w:val="none"/>
          <w:u w:val="single"/>
        </w:rPr>
        <w:t xml:space="preserve">             </w:t>
      </w:r>
    </w:p>
    <w:p w14:paraId="64B5F7B0">
      <w:pPr>
        <w:spacing w:line="360" w:lineRule="auto"/>
        <w:ind w:firstLine="4800" w:firstLineChars="2000"/>
        <w:rPr>
          <w:rFonts w:hint="eastAsia" w:ascii="宋体" w:hAnsi="宋体" w:eastAsia="宋体"/>
          <w:bCs/>
          <w:color w:val="auto"/>
          <w:sz w:val="24"/>
          <w:highlight w:val="none"/>
          <w:u w:val="single"/>
        </w:rPr>
      </w:pPr>
      <w:r>
        <w:rPr>
          <w:rFonts w:hint="eastAsia" w:ascii="宋体" w:hAnsi="宋体" w:eastAsia="宋体"/>
          <w:bCs/>
          <w:color w:val="auto"/>
          <w:sz w:val="24"/>
          <w:highlight w:val="none"/>
        </w:rPr>
        <w:t>日          期：</w:t>
      </w:r>
      <w:r>
        <w:rPr>
          <w:rFonts w:hint="eastAsia" w:ascii="宋体" w:hAnsi="宋体" w:eastAsia="宋体"/>
          <w:bCs/>
          <w:color w:val="auto"/>
          <w:sz w:val="24"/>
          <w:highlight w:val="none"/>
          <w:u w:val="single"/>
        </w:rPr>
        <w:t xml:space="preserve">             </w:t>
      </w:r>
    </w:p>
    <w:p w14:paraId="33EBF66D">
      <w:pPr>
        <w:pStyle w:val="2"/>
        <w:ind w:firstLine="480"/>
        <w:rPr>
          <w:rFonts w:hint="eastAsia"/>
          <w:b w:val="0"/>
          <w:bCs/>
          <w:color w:val="auto"/>
          <w:highlight w:val="none"/>
        </w:rPr>
      </w:pPr>
      <w:r>
        <w:rPr>
          <w:rFonts w:hint="eastAsia"/>
          <w:b w:val="0"/>
          <w:bCs/>
          <w:color w:val="auto"/>
          <w:highlight w:val="none"/>
        </w:rPr>
        <w:t>注：</w:t>
      </w:r>
    </w:p>
    <w:p w14:paraId="7E59851E">
      <w:pPr>
        <w:spacing w:line="360" w:lineRule="auto"/>
        <w:ind w:firstLine="435"/>
        <w:rPr>
          <w:rFonts w:hint="eastAsia"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1.拟分包情况说明仅需加盖投标人电子签章。</w:t>
      </w:r>
    </w:p>
    <w:p w14:paraId="4B54C1B7">
      <w:pPr>
        <w:spacing w:line="360" w:lineRule="auto"/>
        <w:ind w:firstLine="435"/>
        <w:rPr>
          <w:rFonts w:hint="eastAsia"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2.如招标文件载明本项目分包承担主体应具备的相应资质条件，则投标人须在本表中列明分包承担主体的资质等级，并后附材料扫描件或电子证照，否则投标无效。</w:t>
      </w:r>
    </w:p>
    <w:p w14:paraId="0D986007">
      <w:pPr>
        <w:spacing w:line="220" w:lineRule="auto"/>
        <w:rPr>
          <w:rFonts w:hint="eastAsia" w:ascii="宋体" w:hAnsi="宋体" w:eastAsia="宋体" w:cs="宋体"/>
          <w:bCs/>
          <w:color w:val="auto"/>
          <w:sz w:val="24"/>
          <w:szCs w:val="24"/>
          <w:highlight w:val="none"/>
        </w:rPr>
        <w:sectPr>
          <w:headerReference r:id="rId11" w:type="default"/>
          <w:footerReference r:id="rId12" w:type="default"/>
          <w:pgSz w:w="11907" w:h="16840"/>
          <w:pgMar w:top="1117" w:right="1078" w:bottom="1060" w:left="1700" w:header="510" w:footer="886" w:gutter="0"/>
          <w:cols w:space="720" w:num="1"/>
        </w:sectPr>
      </w:pPr>
    </w:p>
    <w:p w14:paraId="29A89827">
      <w:pPr>
        <w:spacing w:line="360" w:lineRule="auto"/>
        <w:jc w:val="center"/>
        <w:outlineLvl w:val="2"/>
        <w:rPr>
          <w:rFonts w:hint="eastAsia"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（二）分包意向协议</w:t>
      </w:r>
    </w:p>
    <w:p w14:paraId="43E1DF11">
      <w:pPr>
        <w:spacing w:line="360" w:lineRule="auto"/>
        <w:ind w:firstLine="435"/>
        <w:rPr>
          <w:rFonts w:hint="eastAsia" w:asciiTheme="minorEastAsia" w:hAnsiTheme="minorEastAsia" w:eastAsiaTheme="minorEastAsia"/>
          <w:bCs/>
          <w:color w:val="auto"/>
          <w:sz w:val="24"/>
          <w:highlight w:val="none"/>
          <w:u w:val="single"/>
        </w:rPr>
      </w:pPr>
      <w:r>
        <w:rPr>
          <w:rFonts w:hint="eastAsia" w:asciiTheme="minorEastAsia" w:hAnsiTheme="minorEastAsia" w:eastAsiaTheme="minorEastAsia"/>
          <w:bCs/>
          <w:color w:val="auto"/>
          <w:sz w:val="24"/>
          <w:highlight w:val="none"/>
        </w:rPr>
        <w:t>投标人名称：</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w:t>
      </w:r>
    </w:p>
    <w:p w14:paraId="4B377348">
      <w:pPr>
        <w:spacing w:line="360" w:lineRule="auto"/>
        <w:ind w:firstLine="435"/>
        <w:rPr>
          <w:rFonts w:hint="eastAsia"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接受分包企业一名称：</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w:t>
      </w:r>
    </w:p>
    <w:p w14:paraId="294E5E69">
      <w:pPr>
        <w:spacing w:line="360" w:lineRule="auto"/>
        <w:ind w:firstLine="435"/>
        <w:rPr>
          <w:rFonts w:hint="eastAsia"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接受分包企业二名称：</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w:t>
      </w:r>
    </w:p>
    <w:p w14:paraId="3E88A009">
      <w:pPr>
        <w:spacing w:line="360" w:lineRule="auto"/>
        <w:ind w:firstLine="435"/>
        <w:rPr>
          <w:rFonts w:hint="eastAsia"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w:t>
      </w:r>
    </w:p>
    <w:p w14:paraId="1A705476">
      <w:pPr>
        <w:spacing w:line="360" w:lineRule="auto"/>
        <w:ind w:firstLine="435"/>
        <w:rPr>
          <w:rFonts w:hint="eastAsia"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依据《政府采购促进中小企业发展管理办法》（财库〔2020〕46号）第八条规定，</w:t>
      </w:r>
      <w:r>
        <w:rPr>
          <w:rFonts w:asciiTheme="minorEastAsia" w:hAnsiTheme="minorEastAsia" w:eastAsiaTheme="minorEastAsia"/>
          <w:bCs/>
          <w:color w:val="auto"/>
          <w:sz w:val="24"/>
          <w:highlight w:val="none"/>
        </w:rPr>
        <w:t>现就</w:t>
      </w:r>
      <w:r>
        <w:rPr>
          <w:rFonts w:hint="eastAsia" w:asciiTheme="minorEastAsia" w:hAnsiTheme="minorEastAsia" w:eastAsiaTheme="minorEastAsia"/>
          <w:bCs/>
          <w:color w:val="auto"/>
          <w:sz w:val="24"/>
          <w:highlight w:val="none"/>
        </w:rPr>
        <w:t>分包意向</w:t>
      </w:r>
      <w:r>
        <w:rPr>
          <w:rFonts w:asciiTheme="minorEastAsia" w:hAnsiTheme="minorEastAsia" w:eastAsiaTheme="minorEastAsia"/>
          <w:bCs/>
          <w:color w:val="auto"/>
          <w:sz w:val="24"/>
          <w:highlight w:val="none"/>
        </w:rPr>
        <w:t>事宜订立如下协议：</w:t>
      </w:r>
    </w:p>
    <w:p w14:paraId="6264E884">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1.本项目投标人为本项目总承包单位。</w:t>
      </w:r>
    </w:p>
    <w:p w14:paraId="5438EBE4">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在本项目投标阶段，总承包单位负责投标项目的一切组织、协调工作，并授权代理人参加项目的投标，代理人在投标、开标、评标、合同签订过程中所签署的一切文件和处理与本次招标有关的一切事务，总承包单位与采购人签订本项目采购合同，分别与各分包企业签订分包合同，就本项目对采购人承担连带责任。</w:t>
      </w:r>
    </w:p>
    <w:p w14:paraId="26BE5ECC">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各</w:t>
      </w:r>
      <w:r>
        <w:rPr>
          <w:rFonts w:asciiTheme="minorEastAsia" w:hAnsiTheme="minorEastAsia" w:eastAsiaTheme="minorEastAsia"/>
          <w:color w:val="auto"/>
          <w:sz w:val="24"/>
          <w:highlight w:val="none"/>
        </w:rPr>
        <w:t>单位内部的职责分工</w:t>
      </w:r>
      <w:r>
        <w:rPr>
          <w:rFonts w:hint="eastAsia" w:asciiTheme="minorEastAsia" w:hAnsiTheme="minorEastAsia" w:eastAsiaTheme="minorEastAsia"/>
          <w:color w:val="auto"/>
          <w:sz w:val="24"/>
          <w:highlight w:val="none"/>
        </w:rPr>
        <w:t>及各方负责内容的合同金额占总合同金额的百分比</w:t>
      </w:r>
      <w:r>
        <w:rPr>
          <w:rFonts w:asciiTheme="minorEastAsia" w:hAnsiTheme="minorEastAsia" w:eastAsiaTheme="minorEastAsia"/>
          <w:color w:val="auto"/>
          <w:sz w:val="24"/>
          <w:highlight w:val="none"/>
        </w:rPr>
        <w:t>如下：</w:t>
      </w:r>
    </w:p>
    <w:p w14:paraId="70479132">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投标人名称：</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，承担</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工作，负责内容的合同金额为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，占总合同金额的百分比：</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049A2A3F">
      <w:pPr>
        <w:spacing w:line="360" w:lineRule="auto"/>
        <w:ind w:firstLine="435"/>
        <w:rPr>
          <w:rFonts w:hint="eastAsia"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接受分包企业一名称：</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，承担</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工作；负责内容的合同金额为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，占总合同金额的百分比：</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295368C3">
      <w:pPr>
        <w:spacing w:line="360" w:lineRule="auto"/>
        <w:ind w:firstLine="435"/>
        <w:rPr>
          <w:rFonts w:hint="eastAsia"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接受分包企业二名称：</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，承担</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工作，负责内容的合同金额为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，占总合同金额的百分比：</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7FE6CB51">
      <w:pPr>
        <w:spacing w:line="360" w:lineRule="auto"/>
        <w:ind w:firstLine="435"/>
        <w:rPr>
          <w:rFonts w:hint="eastAsia"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w:t>
      </w:r>
    </w:p>
    <w:p w14:paraId="5412D165">
      <w:pPr>
        <w:spacing w:line="360" w:lineRule="auto"/>
        <w:ind w:firstLine="435"/>
        <w:rPr>
          <w:rFonts w:hint="eastAsia"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4</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中标后，本</w:t>
      </w:r>
      <w:r>
        <w:rPr>
          <w:rFonts w:hint="eastAsia" w:asciiTheme="minorEastAsia" w:hAnsiTheme="minorEastAsia" w:eastAsiaTheme="minorEastAsia"/>
          <w:color w:val="auto"/>
          <w:sz w:val="24"/>
          <w:highlight w:val="none"/>
        </w:rPr>
        <w:t>分包意向</w:t>
      </w:r>
      <w:r>
        <w:rPr>
          <w:rFonts w:asciiTheme="minorEastAsia" w:hAnsiTheme="minorEastAsia" w:eastAsiaTheme="minorEastAsia"/>
          <w:color w:val="auto"/>
          <w:sz w:val="24"/>
          <w:highlight w:val="none"/>
        </w:rPr>
        <w:t>协议是合同的附件，对</w:t>
      </w:r>
      <w:r>
        <w:rPr>
          <w:rFonts w:hint="eastAsia" w:asciiTheme="minorEastAsia" w:hAnsiTheme="minorEastAsia" w:eastAsiaTheme="minorEastAsia"/>
          <w:color w:val="auto"/>
          <w:sz w:val="24"/>
          <w:highlight w:val="none"/>
        </w:rPr>
        <w:t>分包</w:t>
      </w:r>
      <w:r>
        <w:rPr>
          <w:rFonts w:asciiTheme="minorEastAsia" w:hAnsiTheme="minorEastAsia" w:eastAsiaTheme="minorEastAsia"/>
          <w:color w:val="auto"/>
          <w:sz w:val="24"/>
          <w:highlight w:val="none"/>
        </w:rPr>
        <w:t>各成员单位有合同约束力。</w:t>
      </w:r>
    </w:p>
    <w:p w14:paraId="70F7E9FA">
      <w:pPr>
        <w:spacing w:line="360" w:lineRule="auto"/>
        <w:ind w:firstLine="435"/>
        <w:rPr>
          <w:rFonts w:hint="eastAsia"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本协议书自签署之日起生效，未中标或者合同履行完毕后自动失效。</w:t>
      </w:r>
    </w:p>
    <w:p w14:paraId="71D8174D">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6.接受分包的中小企业与总承包单位不存在直接控股、管理关系。</w:t>
      </w:r>
    </w:p>
    <w:p w14:paraId="0A02CC01">
      <w:pPr>
        <w:pStyle w:val="2"/>
        <w:rPr>
          <w:rFonts w:hint="eastAsia"/>
          <w:color w:val="auto"/>
          <w:highlight w:val="none"/>
        </w:rPr>
      </w:pPr>
    </w:p>
    <w:p w14:paraId="2858EC8D">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投标人：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（公章）</w:t>
      </w:r>
    </w:p>
    <w:p w14:paraId="76779AD0">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法定代表人：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（签字或盖章）</w:t>
      </w:r>
    </w:p>
    <w:p w14:paraId="657B033D">
      <w:pPr>
        <w:spacing w:line="360" w:lineRule="auto"/>
        <w:ind w:firstLine="435"/>
        <w:rPr>
          <w:rFonts w:hint="eastAsia" w:asciiTheme="minorEastAsia" w:hAnsiTheme="minorEastAsia" w:eastAsiaTheme="minorEastAsia"/>
          <w:color w:val="auto"/>
          <w:sz w:val="24"/>
          <w:highlight w:val="none"/>
        </w:rPr>
      </w:pPr>
    </w:p>
    <w:p w14:paraId="3B3827BB">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接受分包企业一：</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（公章）</w:t>
      </w:r>
    </w:p>
    <w:p w14:paraId="74591256">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法定代表人：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（签字或盖章）</w:t>
      </w:r>
    </w:p>
    <w:p w14:paraId="1821728B">
      <w:pPr>
        <w:spacing w:line="360" w:lineRule="auto"/>
        <w:ind w:firstLine="435"/>
        <w:rPr>
          <w:rFonts w:hint="eastAsia" w:asciiTheme="minorEastAsia" w:hAnsiTheme="minorEastAsia" w:eastAsiaTheme="minorEastAsia"/>
          <w:color w:val="auto"/>
          <w:sz w:val="24"/>
          <w:highlight w:val="none"/>
        </w:rPr>
      </w:pPr>
    </w:p>
    <w:p w14:paraId="5633F75E">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接受分包企业二：</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（公章）</w:t>
      </w:r>
    </w:p>
    <w:p w14:paraId="22A5A5D2">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法定代表人：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（签字或盖章）</w:t>
      </w:r>
    </w:p>
    <w:p w14:paraId="47D72681">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p>
    <w:p w14:paraId="23ED0C11">
      <w:pPr>
        <w:pStyle w:val="20"/>
        <w:spacing w:line="360" w:lineRule="auto"/>
        <w:rPr>
          <w:rFonts w:hint="eastAsia" w:asciiTheme="minorEastAsia" w:hAnsiTheme="minorEastAsia" w:eastAsiaTheme="minorEastAsia"/>
          <w:color w:val="auto"/>
          <w:sz w:val="24"/>
          <w:highlight w:val="none"/>
        </w:rPr>
      </w:pPr>
    </w:p>
    <w:p w14:paraId="57F49C8D">
      <w:pPr>
        <w:spacing w:line="360" w:lineRule="auto"/>
        <w:ind w:right="480" w:firstLine="4680" w:firstLineChars="195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签订日期:</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年</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月</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日</w:t>
      </w:r>
    </w:p>
    <w:p w14:paraId="5E26A5C9">
      <w:pPr>
        <w:spacing w:line="360" w:lineRule="auto"/>
        <w:ind w:right="480" w:firstLine="4680" w:firstLineChars="1950"/>
        <w:rPr>
          <w:rFonts w:hint="eastAsia" w:asciiTheme="minorEastAsia" w:hAnsiTheme="minorEastAsia" w:eastAsiaTheme="minorEastAsia"/>
          <w:color w:val="auto"/>
          <w:sz w:val="24"/>
          <w:highlight w:val="none"/>
        </w:rPr>
      </w:pPr>
    </w:p>
    <w:p w14:paraId="0BB304B0">
      <w:pPr>
        <w:spacing w:line="360" w:lineRule="auto"/>
        <w:ind w:right="480" w:firstLine="5460" w:firstLineChars="1950"/>
        <w:rPr>
          <w:rFonts w:hint="eastAsia" w:asciiTheme="minorEastAsia" w:hAnsiTheme="minorEastAsia" w:eastAsiaTheme="minorEastAsia"/>
          <w:color w:val="auto"/>
          <w:sz w:val="28"/>
          <w:highlight w:val="none"/>
        </w:rPr>
      </w:pPr>
    </w:p>
    <w:p w14:paraId="6DC7804B">
      <w:pPr>
        <w:adjustRightInd w:val="0"/>
        <w:snapToGrid w:val="0"/>
        <w:spacing w:line="360" w:lineRule="auto"/>
        <w:rPr>
          <w:rFonts w:hint="eastAsia" w:asciiTheme="minorEastAsia" w:hAnsiTheme="minorEastAsia" w:eastAsiaTheme="minorEastAsia"/>
          <w:b/>
          <w:bCs/>
          <w:color w:val="auto"/>
          <w:sz w:val="24"/>
          <w:szCs w:val="28"/>
          <w:highlight w:val="none"/>
        </w:rPr>
      </w:pPr>
      <w:r>
        <w:rPr>
          <w:rFonts w:hint="eastAsia" w:asciiTheme="minorEastAsia" w:hAnsiTheme="minorEastAsia" w:eastAsiaTheme="minorEastAsia"/>
          <w:b/>
          <w:bCs/>
          <w:color w:val="auto"/>
          <w:sz w:val="24"/>
          <w:szCs w:val="28"/>
          <w:highlight w:val="none"/>
        </w:rPr>
        <w:t>注：</w:t>
      </w:r>
    </w:p>
    <w:p w14:paraId="1991AB78">
      <w:pPr>
        <w:spacing w:line="360" w:lineRule="auto"/>
        <w:ind w:firstLine="435"/>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分包意向协议中须约定向中小企业分包的项目内容及分包内容占合同金额比例。</w:t>
      </w:r>
    </w:p>
    <w:p w14:paraId="046BD591">
      <w:pPr>
        <w:widowControl/>
        <w:jc w:val="left"/>
        <w:rPr>
          <w:rFonts w:hint="eastAsia"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br w:type="page"/>
      </w:r>
    </w:p>
    <w:p w14:paraId="37ECCD47">
      <w:pPr>
        <w:spacing w:line="360" w:lineRule="auto"/>
        <w:jc w:val="center"/>
        <w:outlineLvl w:val="1"/>
        <w:rPr>
          <w:rFonts w:hint="eastAsia" w:asciiTheme="minorEastAsia" w:hAnsiTheme="minorEastAsia" w:eastAsiaTheme="minorEastAsia"/>
          <w:b/>
          <w:color w:val="auto"/>
          <w:sz w:val="24"/>
          <w:highlight w:val="none"/>
        </w:rPr>
      </w:pPr>
      <w:bookmarkStart w:id="90" w:name="_Toc31244"/>
      <w:bookmarkStart w:id="91" w:name="_Toc221656376"/>
      <w:bookmarkStart w:id="92" w:name="_Toc9573"/>
      <w:bookmarkStart w:id="93" w:name="OLE_LINK13"/>
      <w:bookmarkStart w:id="94" w:name="OLE_LINK14"/>
      <w:r>
        <w:rPr>
          <w:rFonts w:hint="eastAsia" w:asciiTheme="minorEastAsia" w:hAnsiTheme="minorEastAsia" w:eastAsiaTheme="minorEastAsia"/>
          <w:b/>
          <w:color w:val="auto"/>
          <w:sz w:val="24"/>
          <w:highlight w:val="none"/>
        </w:rPr>
        <w:t>九、中小企业声明函</w:t>
      </w:r>
      <w:bookmarkEnd w:id="90"/>
      <w:bookmarkEnd w:id="91"/>
      <w:bookmarkEnd w:id="92"/>
    </w:p>
    <w:p w14:paraId="128C0013">
      <w:pPr>
        <w:pStyle w:val="2"/>
        <w:rPr>
          <w:rFonts w:hint="eastAsia"/>
          <w:color w:val="auto"/>
          <w:highlight w:val="none"/>
        </w:rPr>
      </w:pPr>
      <w:r>
        <w:rPr>
          <w:rFonts w:hint="eastAsia"/>
          <w:color w:val="auto"/>
          <w:highlight w:val="none"/>
        </w:rPr>
        <w:t>（非中小企业投标，不需此件，请删去“中小企业声明函”）</w:t>
      </w:r>
    </w:p>
    <w:p w14:paraId="1FEBA63B">
      <w:pPr>
        <w:rPr>
          <w:rFonts w:hint="eastAsia" w:asciiTheme="minorEastAsia" w:hAnsiTheme="minorEastAsia" w:eastAsiaTheme="minorEastAsia"/>
          <w:color w:val="auto"/>
          <w:sz w:val="24"/>
          <w:szCs w:val="24"/>
          <w:highlight w:val="none"/>
        </w:rPr>
      </w:pPr>
    </w:p>
    <w:p w14:paraId="2E54EA4B">
      <w:pPr>
        <w:spacing w:line="360" w:lineRule="auto"/>
        <w:ind w:firstLine="435"/>
        <w:rPr>
          <w:rFonts w:hint="eastAsia"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本公司（联合体）郑重声明，根据《政府采购促进中小企业发展管理办法》（财库﹝2020﹞46号）的规定，本公司（联合体）参加（</w:t>
      </w:r>
      <w:r>
        <w:rPr>
          <w:rFonts w:hint="eastAsia" w:ascii="宋体" w:hAnsi="宋体" w:eastAsia="宋体"/>
          <w:color w:val="auto"/>
          <w:sz w:val="24"/>
          <w:szCs w:val="24"/>
          <w:highlight w:val="none"/>
          <w:u w:val="single"/>
          <w:lang w:val="zh-CN"/>
        </w:rPr>
        <w:t>单位</w:t>
      </w:r>
      <w:r>
        <w:rPr>
          <w:rFonts w:hint="eastAsia" w:ascii="宋体" w:hAnsi="宋体" w:eastAsia="宋体"/>
          <w:color w:val="auto"/>
          <w:sz w:val="24"/>
          <w:szCs w:val="24"/>
          <w:highlight w:val="none"/>
          <w:u w:val="single"/>
        </w:rPr>
        <w:t>名称</w:t>
      </w:r>
      <w:r>
        <w:rPr>
          <w:rFonts w:hint="eastAsia" w:ascii="宋体" w:hAnsi="宋体" w:eastAsia="宋体"/>
          <w:color w:val="auto"/>
          <w:sz w:val="24"/>
          <w:szCs w:val="24"/>
          <w:highlight w:val="none"/>
          <w:lang w:val="zh-CN"/>
        </w:rPr>
        <w:t>）的（</w:t>
      </w:r>
      <w:r>
        <w:rPr>
          <w:rFonts w:hint="eastAsia" w:ascii="宋体" w:hAnsi="宋体" w:eastAsia="宋体"/>
          <w:color w:val="auto"/>
          <w:sz w:val="24"/>
          <w:szCs w:val="24"/>
          <w:highlight w:val="none"/>
          <w:u w:val="single"/>
          <w:lang w:val="zh-CN"/>
        </w:rPr>
        <w:t>项目</w:t>
      </w:r>
      <w:r>
        <w:rPr>
          <w:rFonts w:hint="eastAsia" w:ascii="宋体" w:hAnsi="宋体" w:eastAsia="宋体"/>
          <w:color w:val="auto"/>
          <w:sz w:val="24"/>
          <w:szCs w:val="24"/>
          <w:highlight w:val="none"/>
          <w:u w:val="single"/>
        </w:rPr>
        <w:t>名称</w:t>
      </w:r>
      <w:r>
        <w:rPr>
          <w:rFonts w:hint="eastAsia" w:ascii="宋体" w:hAnsi="宋体" w:eastAsia="宋体"/>
          <w:color w:val="auto"/>
          <w:sz w:val="24"/>
          <w:szCs w:val="24"/>
          <w:highlight w:val="none"/>
          <w:lang w:val="zh-CN"/>
        </w:rPr>
        <w:t xml:space="preserve">）采购活动，提供的货物全部由符合政策要求的中小企业制造。相关企业（含联合体中的中小企业、签订分包意向协议的中小企业）的具体情况如下： </w:t>
      </w:r>
    </w:p>
    <w:p w14:paraId="0AAD1651">
      <w:pPr>
        <w:spacing w:line="360" w:lineRule="auto"/>
        <w:ind w:firstLine="435"/>
        <w:rPr>
          <w:rFonts w:hint="eastAsia"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1.</w:t>
      </w:r>
      <w:r>
        <w:rPr>
          <w:rFonts w:hint="eastAsia" w:ascii="宋体" w:hAnsi="宋体" w:eastAsia="宋体"/>
          <w:color w:val="auto"/>
          <w:sz w:val="24"/>
          <w:szCs w:val="24"/>
          <w:highlight w:val="none"/>
          <w:u w:val="single"/>
          <w:lang w:val="zh-CN"/>
        </w:rPr>
        <w:t xml:space="preserve"> （标的名称） </w:t>
      </w:r>
      <w:r>
        <w:rPr>
          <w:rFonts w:hint="eastAsia" w:ascii="宋体" w:hAnsi="宋体" w:eastAsia="宋体"/>
          <w:color w:val="auto"/>
          <w:sz w:val="24"/>
          <w:szCs w:val="24"/>
          <w:highlight w:val="none"/>
          <w:lang w:val="zh-CN"/>
        </w:rPr>
        <w:t>，属于</w:t>
      </w:r>
      <w:r>
        <w:rPr>
          <w:rFonts w:hint="eastAsia" w:ascii="宋体" w:hAnsi="宋体" w:eastAsia="宋体"/>
          <w:color w:val="auto"/>
          <w:sz w:val="24"/>
          <w:szCs w:val="24"/>
          <w:highlight w:val="none"/>
          <w:u w:val="single"/>
          <w:lang w:val="zh-CN"/>
        </w:rPr>
        <w:t>（采购文件中明确的所属行业）</w:t>
      </w:r>
      <w:r>
        <w:rPr>
          <w:rFonts w:hint="eastAsia" w:ascii="宋体" w:hAnsi="宋体" w:eastAsia="宋体"/>
          <w:color w:val="auto"/>
          <w:sz w:val="24"/>
          <w:szCs w:val="24"/>
          <w:highlight w:val="none"/>
          <w:lang w:val="zh-CN"/>
        </w:rPr>
        <w:t>行业；制造商为</w:t>
      </w:r>
      <w:r>
        <w:rPr>
          <w:rFonts w:hint="eastAsia" w:ascii="宋体" w:hAnsi="宋体" w:eastAsia="宋体"/>
          <w:color w:val="auto"/>
          <w:sz w:val="24"/>
          <w:szCs w:val="24"/>
          <w:highlight w:val="none"/>
          <w:u w:val="single"/>
          <w:lang w:val="zh-CN"/>
        </w:rPr>
        <w:t>（企业名称）</w:t>
      </w:r>
      <w:r>
        <w:rPr>
          <w:rFonts w:hint="eastAsia" w:ascii="宋体" w:hAnsi="宋体" w:eastAsia="宋体"/>
          <w:color w:val="auto"/>
          <w:sz w:val="24"/>
          <w:szCs w:val="24"/>
          <w:highlight w:val="none"/>
          <w:lang w:val="zh-CN"/>
        </w:rPr>
        <w:t>，从业人员</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人，营业收入为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万元，资产总额为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万元，属于</w:t>
      </w:r>
      <w:r>
        <w:rPr>
          <w:rFonts w:hint="eastAsia" w:ascii="宋体" w:hAnsi="宋体" w:eastAsia="宋体"/>
          <w:color w:val="auto"/>
          <w:sz w:val="24"/>
          <w:szCs w:val="24"/>
          <w:highlight w:val="none"/>
          <w:u w:val="single"/>
          <w:lang w:val="zh-CN"/>
        </w:rPr>
        <w:t>（中型企业、小型企业、微型企业）</w:t>
      </w:r>
      <w:r>
        <w:rPr>
          <w:rFonts w:hint="eastAsia" w:ascii="宋体" w:hAnsi="宋体" w:eastAsia="宋体"/>
          <w:color w:val="auto"/>
          <w:sz w:val="24"/>
          <w:szCs w:val="24"/>
          <w:highlight w:val="none"/>
          <w:lang w:val="zh-CN"/>
        </w:rPr>
        <w:t xml:space="preserve">； </w:t>
      </w:r>
    </w:p>
    <w:p w14:paraId="2D3DD773">
      <w:pPr>
        <w:spacing w:line="360" w:lineRule="auto"/>
        <w:ind w:firstLine="435"/>
        <w:rPr>
          <w:rFonts w:hint="eastAsia"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2.</w:t>
      </w:r>
      <w:r>
        <w:rPr>
          <w:rFonts w:hint="eastAsia" w:ascii="宋体" w:hAnsi="宋体" w:eastAsia="宋体"/>
          <w:color w:val="auto"/>
          <w:sz w:val="24"/>
          <w:szCs w:val="24"/>
          <w:highlight w:val="none"/>
          <w:u w:val="single"/>
          <w:lang w:val="zh-CN"/>
        </w:rPr>
        <w:t xml:space="preserve"> （标的名称） </w:t>
      </w:r>
      <w:r>
        <w:rPr>
          <w:rFonts w:hint="eastAsia" w:ascii="宋体" w:hAnsi="宋体" w:eastAsia="宋体"/>
          <w:color w:val="auto"/>
          <w:sz w:val="24"/>
          <w:szCs w:val="24"/>
          <w:highlight w:val="none"/>
          <w:lang w:val="zh-CN"/>
        </w:rPr>
        <w:t>，属于</w:t>
      </w:r>
      <w:r>
        <w:rPr>
          <w:rFonts w:hint="eastAsia" w:ascii="宋体" w:hAnsi="宋体" w:eastAsia="宋体"/>
          <w:color w:val="auto"/>
          <w:sz w:val="24"/>
          <w:szCs w:val="24"/>
          <w:highlight w:val="none"/>
          <w:u w:val="single"/>
          <w:lang w:val="zh-CN"/>
        </w:rPr>
        <w:t>（采购文件中明确的所属行业）</w:t>
      </w:r>
      <w:r>
        <w:rPr>
          <w:rFonts w:hint="eastAsia" w:ascii="宋体" w:hAnsi="宋体" w:eastAsia="宋体"/>
          <w:color w:val="auto"/>
          <w:sz w:val="24"/>
          <w:szCs w:val="24"/>
          <w:highlight w:val="none"/>
          <w:lang w:val="zh-CN"/>
        </w:rPr>
        <w:t>行业；制造商为</w:t>
      </w:r>
      <w:r>
        <w:rPr>
          <w:rFonts w:hint="eastAsia" w:ascii="宋体" w:hAnsi="宋体" w:eastAsia="宋体"/>
          <w:color w:val="auto"/>
          <w:sz w:val="24"/>
          <w:szCs w:val="24"/>
          <w:highlight w:val="none"/>
          <w:u w:val="single"/>
          <w:lang w:val="zh-CN"/>
        </w:rPr>
        <w:t>（企业名称）</w:t>
      </w:r>
      <w:r>
        <w:rPr>
          <w:rFonts w:hint="eastAsia" w:ascii="宋体" w:hAnsi="宋体" w:eastAsia="宋体"/>
          <w:color w:val="auto"/>
          <w:sz w:val="24"/>
          <w:szCs w:val="24"/>
          <w:highlight w:val="none"/>
          <w:lang w:val="zh-CN"/>
        </w:rPr>
        <w:t>，从业人员</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人，营业收入为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万元，资产总额为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万元，属于</w:t>
      </w:r>
      <w:r>
        <w:rPr>
          <w:rFonts w:hint="eastAsia" w:ascii="宋体" w:hAnsi="宋体" w:eastAsia="宋体"/>
          <w:color w:val="auto"/>
          <w:sz w:val="24"/>
          <w:szCs w:val="24"/>
          <w:highlight w:val="none"/>
          <w:u w:val="single"/>
          <w:lang w:val="zh-CN"/>
        </w:rPr>
        <w:t>（中型企业、小型企业、微型企业）</w:t>
      </w:r>
      <w:r>
        <w:rPr>
          <w:rFonts w:hint="eastAsia" w:ascii="宋体" w:hAnsi="宋体" w:eastAsia="宋体"/>
          <w:color w:val="auto"/>
          <w:sz w:val="24"/>
          <w:szCs w:val="24"/>
          <w:highlight w:val="none"/>
          <w:lang w:val="zh-CN"/>
        </w:rPr>
        <w:t xml:space="preserve">； </w:t>
      </w:r>
    </w:p>
    <w:p w14:paraId="387F2F32">
      <w:pPr>
        <w:spacing w:line="360" w:lineRule="auto"/>
        <w:ind w:firstLine="435"/>
        <w:rPr>
          <w:rFonts w:hint="eastAsia"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w:t>
      </w:r>
    </w:p>
    <w:p w14:paraId="02425188">
      <w:pPr>
        <w:spacing w:line="360" w:lineRule="auto"/>
        <w:ind w:firstLine="435"/>
        <w:rPr>
          <w:rFonts w:hint="eastAsia"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以上企业，不属于大企业的分支机构，不存在控股股东为大企业的情形，也不存在与大企业的负责人为同一人的情形。</w:t>
      </w:r>
    </w:p>
    <w:p w14:paraId="453E8302">
      <w:pPr>
        <w:spacing w:line="360" w:lineRule="auto"/>
        <w:ind w:firstLine="435"/>
        <w:rPr>
          <w:rFonts w:hint="eastAsia"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 xml:space="preserve">本企业对上述声明内容的真实性负责。如有虚假，将依法承担相应责任。 </w:t>
      </w:r>
    </w:p>
    <w:p w14:paraId="0A34AAD7">
      <w:pPr>
        <w:spacing w:line="360" w:lineRule="auto"/>
        <w:ind w:firstLine="435"/>
        <w:rPr>
          <w:rFonts w:hint="eastAsia" w:asciiTheme="minorEastAsia" w:hAnsiTheme="minorEastAsia" w:eastAsiaTheme="minorEastAsia"/>
          <w:color w:val="auto"/>
          <w:sz w:val="24"/>
          <w:szCs w:val="24"/>
          <w:highlight w:val="none"/>
        </w:rPr>
      </w:pPr>
    </w:p>
    <w:p w14:paraId="218AACAF">
      <w:pPr>
        <w:spacing w:line="360" w:lineRule="auto"/>
        <w:ind w:firstLine="435"/>
        <w:rPr>
          <w:rFonts w:hint="eastAsia" w:asciiTheme="minorEastAsia" w:hAnsiTheme="minorEastAsia" w:eastAsiaTheme="minorEastAsia"/>
          <w:color w:val="auto"/>
          <w:sz w:val="24"/>
          <w:szCs w:val="24"/>
          <w:highlight w:val="none"/>
        </w:rPr>
      </w:pPr>
    </w:p>
    <w:p w14:paraId="600F805A">
      <w:pPr>
        <w:spacing w:line="360" w:lineRule="auto"/>
        <w:ind w:firstLine="4228" w:firstLineChars="1762"/>
        <w:rPr>
          <w:rFonts w:hint="eastAsia" w:asciiTheme="minorEastAsia" w:hAnsiTheme="minorEastAsia" w:eastAsiaTheme="minorEastAsia"/>
          <w:color w:val="auto"/>
          <w:sz w:val="24"/>
          <w:szCs w:val="24"/>
          <w:highlight w:val="none"/>
          <w:u w:val="single"/>
        </w:rPr>
      </w:pPr>
      <w:r>
        <w:rPr>
          <w:rFonts w:hint="eastAsia" w:asciiTheme="minorEastAsia" w:hAnsiTheme="minorEastAsia" w:eastAsiaTheme="minorEastAsia"/>
          <w:color w:val="auto"/>
          <w:sz w:val="24"/>
          <w:szCs w:val="24"/>
          <w:highlight w:val="none"/>
        </w:rPr>
        <w:t>投标人</w:t>
      </w:r>
      <w:r>
        <w:rPr>
          <w:rFonts w:asciiTheme="minorEastAsia" w:hAnsiTheme="minorEastAsia" w:eastAsiaTheme="minorEastAsia"/>
          <w:color w:val="auto"/>
          <w:sz w:val="24"/>
          <w:szCs w:val="24"/>
          <w:highlight w:val="none"/>
        </w:rPr>
        <w:t>电子签章</w:t>
      </w:r>
      <w:r>
        <w:rPr>
          <w:rFonts w:hint="eastAsia" w:asciiTheme="minorEastAsia" w:hAnsiTheme="minorEastAsia" w:eastAsiaTheme="minorEastAsia"/>
          <w:color w:val="auto"/>
          <w:sz w:val="24"/>
          <w:szCs w:val="24"/>
          <w:highlight w:val="none"/>
        </w:rPr>
        <w:t>：</w:t>
      </w:r>
      <w:r>
        <w:rPr>
          <w:rFonts w:asciiTheme="minorEastAsia" w:hAnsiTheme="minorEastAsia" w:eastAsiaTheme="minorEastAsia"/>
          <w:color w:val="auto"/>
          <w:sz w:val="24"/>
          <w:szCs w:val="24"/>
          <w:highlight w:val="none"/>
          <w:u w:val="single"/>
        </w:rPr>
        <w:t xml:space="preserve">             </w:t>
      </w:r>
    </w:p>
    <w:p w14:paraId="4DBBE12C">
      <w:pPr>
        <w:tabs>
          <w:tab w:val="left" w:pos="4620"/>
        </w:tabs>
        <w:spacing w:line="360" w:lineRule="auto"/>
        <w:ind w:firstLine="4252" w:firstLineChars="1772"/>
        <w:rPr>
          <w:rFonts w:hint="eastAsia" w:asciiTheme="minorEastAsia" w:hAnsiTheme="minorEastAsia" w:eastAsiaTheme="minorEastAsia"/>
          <w:color w:val="auto"/>
          <w:sz w:val="24"/>
          <w:szCs w:val="24"/>
          <w:highlight w:val="none"/>
          <w:u w:val="single"/>
        </w:rPr>
      </w:pPr>
      <w:r>
        <w:rPr>
          <w:rFonts w:hint="eastAsia" w:asciiTheme="minorEastAsia" w:hAnsiTheme="minorEastAsia" w:eastAsiaTheme="minorEastAsia"/>
          <w:color w:val="auto"/>
          <w:sz w:val="24"/>
          <w:szCs w:val="24"/>
          <w:highlight w:val="none"/>
        </w:rPr>
        <w:t>日</w:t>
      </w:r>
      <w:r>
        <w:rPr>
          <w:rFonts w:asciiTheme="minorEastAsia" w:hAnsiTheme="minorEastAsia" w:eastAsiaTheme="minorEastAsia"/>
          <w:color w:val="auto"/>
          <w:sz w:val="24"/>
          <w:szCs w:val="24"/>
          <w:highlight w:val="none"/>
        </w:rPr>
        <w:t xml:space="preserve">      </w:t>
      </w:r>
      <w:r>
        <w:rPr>
          <w:rFonts w:hint="eastAsia" w:asciiTheme="minorEastAsia" w:hAnsiTheme="minorEastAsia" w:eastAsiaTheme="minorEastAsia"/>
          <w:color w:val="auto"/>
          <w:sz w:val="24"/>
          <w:szCs w:val="24"/>
          <w:highlight w:val="none"/>
        </w:rPr>
        <w:t xml:space="preserve">    期：</w:t>
      </w:r>
      <w:r>
        <w:rPr>
          <w:rFonts w:asciiTheme="minorEastAsia" w:hAnsiTheme="minorEastAsia" w:eastAsiaTheme="minorEastAsia"/>
          <w:color w:val="auto"/>
          <w:sz w:val="24"/>
          <w:szCs w:val="24"/>
          <w:highlight w:val="none"/>
          <w:u w:val="single"/>
        </w:rPr>
        <w:t xml:space="preserve">             </w:t>
      </w:r>
    </w:p>
    <w:p w14:paraId="3BBA4514">
      <w:pPr>
        <w:tabs>
          <w:tab w:val="left" w:pos="4620"/>
        </w:tabs>
        <w:spacing w:line="360" w:lineRule="auto"/>
        <w:jc w:val="left"/>
        <w:rPr>
          <w:rFonts w:hint="eastAsia" w:asciiTheme="minorEastAsia" w:hAnsiTheme="minorEastAsia" w:eastAsiaTheme="minorEastAsia"/>
          <w:color w:val="auto"/>
          <w:sz w:val="24"/>
          <w:szCs w:val="24"/>
          <w:highlight w:val="none"/>
        </w:rPr>
      </w:pPr>
    </w:p>
    <w:p w14:paraId="73F8DFE9">
      <w:pPr>
        <w:tabs>
          <w:tab w:val="left" w:pos="4620"/>
        </w:tabs>
        <w:spacing w:line="360" w:lineRule="auto"/>
        <w:jc w:val="left"/>
        <w:rPr>
          <w:rFonts w:hint="eastAsia" w:asciiTheme="minorEastAsia" w:hAnsiTheme="minorEastAsia" w:eastAsiaTheme="minorEastAsia"/>
          <w:color w:val="auto"/>
          <w:sz w:val="24"/>
          <w:szCs w:val="24"/>
          <w:highlight w:val="none"/>
        </w:rPr>
      </w:pPr>
    </w:p>
    <w:p w14:paraId="2DB2F112">
      <w:pPr>
        <w:tabs>
          <w:tab w:val="left" w:pos="4620"/>
        </w:tabs>
        <w:spacing w:line="360" w:lineRule="auto"/>
        <w:jc w:val="left"/>
        <w:rPr>
          <w:rFonts w:hint="eastAsia" w:asciiTheme="minorEastAsia" w:hAnsiTheme="minorEastAsia" w:eastAsiaTheme="minorEastAsia"/>
          <w:color w:val="auto"/>
          <w:sz w:val="24"/>
          <w:szCs w:val="24"/>
          <w:highlight w:val="none"/>
        </w:rPr>
      </w:pPr>
    </w:p>
    <w:p w14:paraId="44D70A18">
      <w:pPr>
        <w:tabs>
          <w:tab w:val="left" w:pos="4620"/>
        </w:tabs>
        <w:spacing w:line="360" w:lineRule="auto"/>
        <w:jc w:val="left"/>
        <w:rPr>
          <w:rFonts w:hint="eastAsia" w:asciiTheme="minorEastAsia" w:hAnsiTheme="minorEastAsia" w:eastAsiaTheme="minorEastAsia"/>
          <w:color w:val="auto"/>
          <w:sz w:val="24"/>
          <w:szCs w:val="24"/>
          <w:highlight w:val="none"/>
        </w:rPr>
      </w:pPr>
    </w:p>
    <w:p w14:paraId="08AB0A4C">
      <w:pPr>
        <w:tabs>
          <w:tab w:val="left" w:pos="4620"/>
        </w:tabs>
        <w:spacing w:line="360" w:lineRule="auto"/>
        <w:jc w:val="left"/>
        <w:rPr>
          <w:rFonts w:hint="eastAsia" w:asciiTheme="minorEastAsia" w:hAnsiTheme="minorEastAsia" w:eastAsiaTheme="minorEastAsia"/>
          <w:color w:val="auto"/>
          <w:sz w:val="24"/>
          <w:szCs w:val="24"/>
          <w:highlight w:val="none"/>
        </w:rPr>
      </w:pPr>
    </w:p>
    <w:p w14:paraId="24B6B557">
      <w:pPr>
        <w:tabs>
          <w:tab w:val="left" w:pos="4620"/>
        </w:tabs>
        <w:spacing w:line="360" w:lineRule="auto"/>
        <w:jc w:val="left"/>
        <w:rPr>
          <w:rFonts w:hint="eastAsia" w:asciiTheme="minorEastAsia" w:hAnsiTheme="minorEastAsia" w:eastAsiaTheme="minorEastAsia"/>
          <w:b/>
          <w:color w:val="auto"/>
          <w:szCs w:val="24"/>
          <w:highlight w:val="none"/>
        </w:rPr>
      </w:pPr>
      <w:r>
        <w:rPr>
          <w:rFonts w:hint="eastAsia" w:asciiTheme="minorEastAsia" w:hAnsiTheme="minorEastAsia" w:eastAsiaTheme="minorEastAsia"/>
          <w:b/>
          <w:color w:val="auto"/>
          <w:szCs w:val="24"/>
          <w:highlight w:val="none"/>
        </w:rPr>
        <w:t>注：</w:t>
      </w:r>
    </w:p>
    <w:p w14:paraId="10579922">
      <w:pPr>
        <w:tabs>
          <w:tab w:val="left" w:pos="4620"/>
        </w:tabs>
        <w:spacing w:line="360" w:lineRule="auto"/>
        <w:jc w:val="left"/>
        <w:rPr>
          <w:rFonts w:hint="eastAsia"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1.从业人员、营业收入、资产总额填报上一年数据，无上一年数据的新成立企业可不填报。</w:t>
      </w:r>
    </w:p>
    <w:p w14:paraId="0B9A6E9E">
      <w:pPr>
        <w:tabs>
          <w:tab w:val="left" w:pos="4620"/>
        </w:tabs>
        <w:spacing w:line="360" w:lineRule="auto"/>
        <w:jc w:val="left"/>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2.投标人应根据《政府采购促进中小企业发展管理办法》（财库﹝2020﹞46号）和《关于印发中小企业划型标准规定的通知》(工信部联企业〔2011〕300号)相关规定，如实填写中小企业声明函。</w:t>
      </w:r>
      <w:r>
        <w:rPr>
          <w:rFonts w:hint="eastAsia" w:ascii="宋体" w:hAnsi="宋体" w:eastAsia="宋体" w:cs="宋体"/>
          <w:b/>
          <w:bCs/>
          <w:color w:val="auto"/>
          <w:szCs w:val="21"/>
          <w:highlight w:val="none"/>
          <w:lang w:val="zh-CN"/>
        </w:rPr>
        <w:t>如有虚假，将依法承担相应责任。</w:t>
      </w:r>
      <w:r>
        <w:rPr>
          <w:rFonts w:hint="eastAsia" w:ascii="宋体" w:hAnsi="宋体" w:eastAsia="宋体" w:cs="宋体"/>
          <w:b/>
          <w:bCs/>
          <w:color w:val="auto"/>
          <w:szCs w:val="21"/>
          <w:highlight w:val="none"/>
        </w:rPr>
        <w:t>投标人自行登录工业和信息化部官网进行中小企业规模类型自测（查询网址https://www.miit.gov.cn/）。</w:t>
      </w:r>
    </w:p>
    <w:p w14:paraId="3E925EE4">
      <w:pPr>
        <w:tabs>
          <w:tab w:val="left" w:pos="4620"/>
        </w:tabs>
        <w:spacing w:line="360" w:lineRule="auto"/>
        <w:jc w:val="left"/>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3.上述“</w:t>
      </w:r>
      <w:r>
        <w:rPr>
          <w:rFonts w:hint="eastAsia" w:ascii="宋体" w:hAnsi="宋体" w:eastAsia="宋体" w:cs="宋体"/>
          <w:b/>
          <w:bCs/>
          <w:color w:val="auto"/>
          <w:szCs w:val="21"/>
          <w:highlight w:val="none"/>
          <w:u w:val="single"/>
          <w:lang w:val="zh-CN"/>
        </w:rPr>
        <w:t>标的名称</w:t>
      </w:r>
      <w:r>
        <w:rPr>
          <w:rFonts w:hint="eastAsia" w:ascii="宋体" w:hAnsi="宋体" w:eastAsia="宋体" w:cs="宋体"/>
          <w:b/>
          <w:bCs/>
          <w:color w:val="auto"/>
          <w:szCs w:val="21"/>
          <w:highlight w:val="none"/>
        </w:rPr>
        <w:t>”，详见第三章采购需求中明确的“货物名称”。</w:t>
      </w:r>
    </w:p>
    <w:p w14:paraId="104F3336">
      <w:pPr>
        <w:tabs>
          <w:tab w:val="left" w:pos="4620"/>
        </w:tabs>
        <w:spacing w:line="360" w:lineRule="auto"/>
        <w:jc w:val="left"/>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4.上述“</w:t>
      </w:r>
      <w:r>
        <w:rPr>
          <w:rFonts w:hint="eastAsia" w:ascii="宋体" w:hAnsi="宋体" w:eastAsia="宋体" w:cs="宋体"/>
          <w:b/>
          <w:bCs/>
          <w:color w:val="auto"/>
          <w:szCs w:val="21"/>
          <w:highlight w:val="none"/>
          <w:u w:val="single"/>
        </w:rPr>
        <w:t>采购文件中明确的所属行业</w:t>
      </w:r>
      <w:r>
        <w:rPr>
          <w:rFonts w:hint="eastAsia" w:ascii="宋体" w:hAnsi="宋体" w:eastAsia="宋体" w:cs="宋体"/>
          <w:b/>
          <w:bCs/>
          <w:color w:val="auto"/>
          <w:szCs w:val="21"/>
          <w:highlight w:val="none"/>
        </w:rPr>
        <w:t>”，详见第三章采购需求中明确的“所属行业”。</w:t>
      </w:r>
    </w:p>
    <w:p w14:paraId="496C650D">
      <w:pPr>
        <w:tabs>
          <w:tab w:val="left" w:pos="4620"/>
        </w:tabs>
        <w:spacing w:line="360" w:lineRule="auto"/>
        <w:jc w:val="left"/>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lang w:eastAsia="zh-CN"/>
        </w:rPr>
        <w:t>5.</w:t>
      </w:r>
      <w:r>
        <w:rPr>
          <w:rFonts w:hint="eastAsia" w:ascii="宋体" w:hAnsi="宋体" w:eastAsia="宋体" w:cs="宋体"/>
          <w:b/>
          <w:bCs/>
          <w:color w:val="auto"/>
          <w:szCs w:val="21"/>
          <w:highlight w:val="none"/>
        </w:rPr>
        <w:t>填写示例：</w:t>
      </w:r>
      <w:r>
        <w:rPr>
          <w:rFonts w:hint="eastAsia" w:ascii="宋体" w:hAnsi="宋体" w:eastAsia="宋体" w:cs="宋体"/>
          <w:b/>
          <w:bCs/>
          <w:color w:val="auto"/>
          <w:szCs w:val="21"/>
          <w:highlight w:val="none"/>
          <w:u w:val="single"/>
          <w:lang w:val="zh-CN"/>
        </w:rPr>
        <w:t>某设备</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val="zh-CN"/>
        </w:rPr>
        <w:t>属于</w:t>
      </w:r>
      <w:r>
        <w:rPr>
          <w:rFonts w:hint="eastAsia" w:ascii="宋体" w:hAnsi="宋体" w:eastAsia="宋体" w:cs="宋体"/>
          <w:b/>
          <w:bCs/>
          <w:color w:val="auto"/>
          <w:szCs w:val="21"/>
          <w:highlight w:val="none"/>
          <w:u w:val="single"/>
        </w:rPr>
        <w:t>（填写第三章采购需求中对应货物的“所属行业”，如工业）</w:t>
      </w:r>
      <w:r>
        <w:rPr>
          <w:rFonts w:hint="eastAsia" w:ascii="宋体" w:hAnsi="宋体" w:eastAsia="宋体" w:cs="宋体"/>
          <w:b/>
          <w:bCs/>
          <w:color w:val="auto"/>
          <w:szCs w:val="21"/>
          <w:highlight w:val="none"/>
          <w:lang w:val="zh-CN"/>
        </w:rPr>
        <w:t>行业</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val="zh-CN"/>
        </w:rPr>
        <w:t>承接企业为</w:t>
      </w:r>
      <w:r>
        <w:rPr>
          <w:rFonts w:hint="eastAsia" w:ascii="宋体" w:hAnsi="宋体" w:eastAsia="宋体" w:cs="宋体"/>
          <w:b/>
          <w:bCs/>
          <w:color w:val="auto"/>
          <w:szCs w:val="21"/>
          <w:highlight w:val="none"/>
          <w:u w:val="single"/>
          <w:lang w:val="zh-CN"/>
        </w:rPr>
        <w:t>某</w:t>
      </w:r>
      <w:r>
        <w:rPr>
          <w:rFonts w:hint="eastAsia" w:ascii="宋体" w:hAnsi="宋体" w:eastAsia="宋体" w:cs="宋体"/>
          <w:b/>
          <w:bCs/>
          <w:color w:val="auto"/>
          <w:szCs w:val="21"/>
          <w:highlight w:val="none"/>
          <w:u w:val="single"/>
        </w:rPr>
        <w:t>企业</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val="zh-CN"/>
        </w:rPr>
        <w:t>从业人员</w:t>
      </w:r>
      <w:r>
        <w:rPr>
          <w:rFonts w:hint="eastAsia" w:ascii="宋体" w:hAnsi="宋体" w:eastAsia="宋体" w:cs="宋体"/>
          <w:b/>
          <w:bCs/>
          <w:color w:val="auto"/>
          <w:szCs w:val="21"/>
          <w:highlight w:val="none"/>
          <w:u w:val="single"/>
        </w:rPr>
        <w:t>100</w:t>
      </w:r>
      <w:r>
        <w:rPr>
          <w:rFonts w:hint="eastAsia" w:ascii="宋体" w:hAnsi="宋体" w:eastAsia="宋体" w:cs="宋体"/>
          <w:b/>
          <w:bCs/>
          <w:color w:val="auto"/>
          <w:szCs w:val="21"/>
          <w:highlight w:val="none"/>
          <w:lang w:val="zh-CN"/>
        </w:rPr>
        <w:t>人</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val="zh-CN"/>
        </w:rPr>
        <w:t>营业收入为</w:t>
      </w:r>
      <w:r>
        <w:rPr>
          <w:rFonts w:hint="eastAsia" w:ascii="宋体" w:hAnsi="宋体" w:eastAsia="宋体" w:cs="宋体"/>
          <w:b/>
          <w:bCs/>
          <w:color w:val="auto"/>
          <w:szCs w:val="21"/>
          <w:highlight w:val="none"/>
          <w:u w:val="single"/>
        </w:rPr>
        <w:t>10000</w:t>
      </w:r>
      <w:r>
        <w:rPr>
          <w:rFonts w:hint="eastAsia" w:ascii="宋体" w:hAnsi="宋体" w:eastAsia="宋体" w:cs="宋体"/>
          <w:b/>
          <w:bCs/>
          <w:color w:val="auto"/>
          <w:szCs w:val="21"/>
          <w:highlight w:val="none"/>
          <w:lang w:val="zh-CN"/>
        </w:rPr>
        <w:t>万元</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val="zh-CN"/>
        </w:rPr>
        <w:t>资产总额为</w:t>
      </w:r>
      <w:r>
        <w:rPr>
          <w:rFonts w:hint="eastAsia" w:ascii="宋体" w:hAnsi="宋体" w:eastAsia="宋体" w:cs="宋体"/>
          <w:b/>
          <w:bCs/>
          <w:color w:val="auto"/>
          <w:szCs w:val="21"/>
          <w:highlight w:val="none"/>
          <w:u w:val="single"/>
        </w:rPr>
        <w:t>5000</w:t>
      </w:r>
      <w:r>
        <w:rPr>
          <w:rFonts w:hint="eastAsia" w:ascii="宋体" w:hAnsi="宋体" w:eastAsia="宋体" w:cs="宋体"/>
          <w:b/>
          <w:bCs/>
          <w:color w:val="auto"/>
          <w:szCs w:val="21"/>
          <w:highlight w:val="none"/>
          <w:lang w:val="zh-CN"/>
        </w:rPr>
        <w:t>万元</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val="zh-CN"/>
        </w:rPr>
        <w:t>属于</w:t>
      </w:r>
      <w:r>
        <w:rPr>
          <w:rFonts w:hint="eastAsia" w:ascii="宋体" w:hAnsi="宋体" w:eastAsia="宋体" w:cs="宋体"/>
          <w:b/>
          <w:bCs/>
          <w:color w:val="auto"/>
          <w:szCs w:val="21"/>
          <w:highlight w:val="none"/>
          <w:u w:val="single"/>
          <w:lang w:val="zh-CN"/>
        </w:rPr>
        <w:t>小型</w:t>
      </w:r>
      <w:r>
        <w:rPr>
          <w:rFonts w:hint="eastAsia" w:ascii="宋体" w:hAnsi="宋体" w:eastAsia="宋体" w:cs="宋体"/>
          <w:b/>
          <w:bCs/>
          <w:color w:val="auto"/>
          <w:szCs w:val="21"/>
          <w:highlight w:val="none"/>
          <w:lang w:val="zh-CN"/>
        </w:rPr>
        <w:t>企业</w:t>
      </w:r>
      <w:r>
        <w:rPr>
          <w:rFonts w:hint="eastAsia" w:ascii="宋体" w:hAnsi="宋体" w:eastAsia="宋体" w:cs="宋体"/>
          <w:b/>
          <w:bCs/>
          <w:color w:val="auto"/>
          <w:szCs w:val="21"/>
          <w:highlight w:val="none"/>
        </w:rPr>
        <w:t>[投标人自行登录工业和信息化部官网进行中小企业规模类型自测（查询网址https://www.miit.gov.cn/）]</w:t>
      </w:r>
      <w:r>
        <w:rPr>
          <w:rFonts w:hint="eastAsia" w:ascii="宋体" w:hAnsi="宋体" w:eastAsia="宋体" w:cs="宋体"/>
          <w:b/>
          <w:bCs/>
          <w:color w:val="auto"/>
          <w:szCs w:val="21"/>
          <w:highlight w:val="none"/>
          <w:lang w:val="zh-CN"/>
        </w:rPr>
        <w:t>。</w:t>
      </w:r>
    </w:p>
    <w:p w14:paraId="5E6D73AB">
      <w:pPr>
        <w:rPr>
          <w:rFonts w:hint="eastAsia" w:asciiTheme="minorEastAsia" w:hAnsiTheme="minorEastAsia" w:eastAsiaTheme="minorEastAsia"/>
          <w:b/>
          <w:bCs/>
          <w:color w:val="auto"/>
          <w:szCs w:val="24"/>
          <w:highlight w:val="none"/>
        </w:rPr>
      </w:pPr>
      <w:r>
        <w:rPr>
          <w:rFonts w:hint="eastAsia" w:asciiTheme="minorEastAsia" w:hAnsiTheme="minorEastAsia" w:eastAsiaTheme="minorEastAsia"/>
          <w:b/>
          <w:bCs/>
          <w:color w:val="auto"/>
          <w:szCs w:val="24"/>
          <w:highlight w:val="none"/>
        </w:rPr>
        <w:br w:type="page"/>
      </w:r>
      <w:bookmarkEnd w:id="93"/>
      <w:bookmarkEnd w:id="94"/>
    </w:p>
    <w:p w14:paraId="27FB600F">
      <w:pPr>
        <w:spacing w:line="360" w:lineRule="auto"/>
        <w:jc w:val="center"/>
        <w:outlineLvl w:val="1"/>
        <w:rPr>
          <w:rFonts w:hint="eastAsia" w:asciiTheme="minorEastAsia" w:hAnsiTheme="minorEastAsia" w:eastAsiaTheme="minorEastAsia"/>
          <w:b/>
          <w:color w:val="auto"/>
          <w:sz w:val="24"/>
          <w:highlight w:val="none"/>
        </w:rPr>
      </w:pPr>
      <w:bookmarkStart w:id="95" w:name="_Toc16713"/>
      <w:bookmarkStart w:id="96" w:name="_Toc221656377"/>
      <w:bookmarkStart w:id="97" w:name="_Toc24563"/>
      <w:r>
        <w:rPr>
          <w:rFonts w:hint="eastAsia" w:asciiTheme="minorEastAsia" w:hAnsiTheme="minorEastAsia" w:eastAsiaTheme="minorEastAsia"/>
          <w:b/>
          <w:color w:val="auto"/>
          <w:sz w:val="24"/>
          <w:highlight w:val="none"/>
        </w:rPr>
        <w:t>十、残疾人福利性单位声明函</w:t>
      </w:r>
      <w:bookmarkEnd w:id="95"/>
      <w:bookmarkEnd w:id="96"/>
      <w:bookmarkEnd w:id="97"/>
    </w:p>
    <w:p w14:paraId="71A0D95E">
      <w:pPr>
        <w:pStyle w:val="2"/>
        <w:rPr>
          <w:rFonts w:hint="eastAsia"/>
          <w:color w:val="auto"/>
          <w:highlight w:val="none"/>
        </w:rPr>
      </w:pPr>
      <w:r>
        <w:rPr>
          <w:rFonts w:hint="eastAsia"/>
          <w:color w:val="auto"/>
          <w:highlight w:val="none"/>
        </w:rPr>
        <w:t>（非残疾人福利性单位投标，请删去“残疾人福利性单位声明函”）</w:t>
      </w:r>
    </w:p>
    <w:p w14:paraId="42BFD4A6">
      <w:pPr>
        <w:spacing w:line="360" w:lineRule="auto"/>
        <w:ind w:firstLine="435"/>
        <w:rPr>
          <w:rFonts w:hint="eastAsia" w:asciiTheme="minorEastAsia" w:hAnsiTheme="minorEastAsia" w:eastAsiaTheme="minorEastAsia"/>
          <w:color w:val="auto"/>
          <w:spacing w:val="6"/>
          <w:sz w:val="24"/>
          <w:szCs w:val="24"/>
          <w:highlight w:val="none"/>
        </w:rPr>
      </w:pPr>
      <w:r>
        <w:rPr>
          <w:rFonts w:hint="eastAsia" w:asciiTheme="minorEastAsia" w:hAnsiTheme="minorEastAsia" w:eastAsiaTheme="minorEastAsia"/>
          <w:color w:val="auto"/>
          <w:spacing w:val="6"/>
          <w:sz w:val="24"/>
          <w:szCs w:val="24"/>
          <w:highlight w:val="none"/>
        </w:rPr>
        <w:t>本单位</w:t>
      </w:r>
      <w:r>
        <w:rPr>
          <w:rFonts w:hint="eastAsia" w:asciiTheme="minorEastAsia" w:hAnsiTheme="minorEastAsia" w:eastAsiaTheme="minorEastAsia"/>
          <w:color w:val="auto"/>
          <w:sz w:val="24"/>
          <w:highlight w:val="none"/>
        </w:rPr>
        <w:t>郑重</w:t>
      </w:r>
      <w:r>
        <w:rPr>
          <w:rFonts w:hint="eastAsia" w:asciiTheme="minorEastAsia" w:hAnsiTheme="minorEastAsia" w:eastAsiaTheme="minorEastAsia"/>
          <w:color w:val="auto"/>
          <w:spacing w:val="6"/>
          <w:sz w:val="24"/>
          <w:szCs w:val="24"/>
          <w:highlight w:val="none"/>
        </w:rPr>
        <w:t>声明，根据《财政部 民政部 中国残疾人联合会关于促进残疾人就业政府采购政策的通知》（财库</w:t>
      </w:r>
      <w:r>
        <w:rPr>
          <w:rFonts w:hint="eastAsia" w:asciiTheme="minorEastAsia" w:hAnsiTheme="minorEastAsia" w:eastAsiaTheme="minorEastAsia"/>
          <w:color w:val="auto"/>
          <w:sz w:val="24"/>
          <w:szCs w:val="24"/>
          <w:highlight w:val="none"/>
        </w:rPr>
        <w:t>〔2017〕141</w:t>
      </w:r>
      <w:r>
        <w:rPr>
          <w:rFonts w:hint="eastAsia" w:asciiTheme="minorEastAsia" w:hAnsiTheme="minorEastAsia" w:eastAsiaTheme="minorEastAsia"/>
          <w:color w:val="auto"/>
          <w:spacing w:val="6"/>
          <w:sz w:val="24"/>
          <w:szCs w:val="24"/>
          <w:highlight w:val="none"/>
        </w:rPr>
        <w:t>号）的规定，本单位为</w:t>
      </w:r>
      <w:r>
        <w:rPr>
          <w:rFonts w:hint="eastAsia" w:asciiTheme="minorEastAsia" w:hAnsiTheme="minorEastAsia" w:eastAsiaTheme="minorEastAsia"/>
          <w:bCs/>
          <w:color w:val="auto"/>
          <w:sz w:val="24"/>
          <w:szCs w:val="24"/>
          <w:highlight w:val="none"/>
        </w:rPr>
        <w:t>符合</w:t>
      </w:r>
      <w:r>
        <w:rPr>
          <w:rFonts w:hint="eastAsia" w:asciiTheme="minorEastAsia" w:hAnsiTheme="minorEastAsia" w:eastAsiaTheme="minorEastAsia"/>
          <w:color w:val="auto"/>
          <w:spacing w:val="6"/>
          <w:sz w:val="24"/>
          <w:szCs w:val="24"/>
          <w:highlight w:val="none"/>
        </w:rPr>
        <w:t>条件的残疾人福利性单位，且本单位参加</w:t>
      </w:r>
      <w:r>
        <w:rPr>
          <w:rFonts w:hint="eastAsia" w:asciiTheme="minorEastAsia" w:hAnsiTheme="minorEastAsia" w:eastAsiaTheme="minorEastAsia"/>
          <w:color w:val="auto"/>
          <w:spacing w:val="6"/>
          <w:sz w:val="24"/>
          <w:szCs w:val="24"/>
          <w:highlight w:val="none"/>
          <w:u w:val="single"/>
        </w:rPr>
        <w:t xml:space="preserve">      </w:t>
      </w:r>
      <w:r>
        <w:rPr>
          <w:rFonts w:hint="eastAsia" w:asciiTheme="minorEastAsia" w:hAnsiTheme="minorEastAsia" w:eastAsiaTheme="minorEastAsia"/>
          <w:color w:val="auto"/>
          <w:spacing w:val="6"/>
          <w:sz w:val="24"/>
          <w:szCs w:val="24"/>
          <w:highlight w:val="none"/>
        </w:rPr>
        <w:t>单位的</w:t>
      </w:r>
      <w:r>
        <w:rPr>
          <w:rFonts w:hint="eastAsia" w:asciiTheme="minorEastAsia" w:hAnsiTheme="minorEastAsia" w:eastAsiaTheme="minorEastAsia"/>
          <w:color w:val="auto"/>
          <w:spacing w:val="6"/>
          <w:sz w:val="24"/>
          <w:szCs w:val="24"/>
          <w:highlight w:val="none"/>
          <w:u w:val="single"/>
        </w:rPr>
        <w:t xml:space="preserve">      </w:t>
      </w:r>
      <w:r>
        <w:rPr>
          <w:rFonts w:hint="eastAsia" w:asciiTheme="minorEastAsia" w:hAnsiTheme="minorEastAsia" w:eastAsiaTheme="minorEastAsia"/>
          <w:color w:val="auto"/>
          <w:spacing w:val="6"/>
          <w:sz w:val="24"/>
          <w:szCs w:val="24"/>
          <w:highlight w:val="none"/>
        </w:rPr>
        <w:t>项目采购活动提供本单位制造的货物（由本单位承担工程/提供服务），或者提供其他残疾人福利性单位制造的货物（不包括使用非残疾人福利性单位注册商标的货物）。</w:t>
      </w:r>
    </w:p>
    <w:p w14:paraId="544DB48D">
      <w:pPr>
        <w:spacing w:line="360" w:lineRule="auto"/>
        <w:ind w:firstLine="435"/>
        <w:rPr>
          <w:rFonts w:hint="eastAsia" w:asciiTheme="minorEastAsia" w:hAnsiTheme="minorEastAsia" w:eastAsiaTheme="minorEastAsia"/>
          <w:color w:val="auto"/>
          <w:spacing w:val="6"/>
          <w:sz w:val="24"/>
          <w:szCs w:val="24"/>
          <w:highlight w:val="none"/>
        </w:rPr>
      </w:pPr>
      <w:r>
        <w:rPr>
          <w:rFonts w:hint="eastAsia" w:asciiTheme="minorEastAsia" w:hAnsiTheme="minorEastAsia" w:eastAsiaTheme="minorEastAsia"/>
          <w:color w:val="auto"/>
          <w:spacing w:val="6"/>
          <w:sz w:val="24"/>
          <w:szCs w:val="24"/>
          <w:highlight w:val="none"/>
        </w:rPr>
        <w:t>本单位对上述声明的真实性负责。如有虚假，将依法承担相应责任。</w:t>
      </w:r>
    </w:p>
    <w:p w14:paraId="441473AB">
      <w:pPr>
        <w:spacing w:line="360" w:lineRule="auto"/>
        <w:ind w:firstLine="4228" w:firstLineChars="1762"/>
        <w:rPr>
          <w:rFonts w:hint="eastAsia" w:asciiTheme="minorEastAsia" w:hAnsiTheme="minorEastAsia" w:eastAsiaTheme="minorEastAsia"/>
          <w:color w:val="auto"/>
          <w:sz w:val="24"/>
          <w:szCs w:val="24"/>
          <w:highlight w:val="none"/>
        </w:rPr>
      </w:pPr>
    </w:p>
    <w:p w14:paraId="5FA636EB">
      <w:pPr>
        <w:spacing w:line="360" w:lineRule="auto"/>
        <w:ind w:firstLine="4228" w:firstLineChars="1762"/>
        <w:rPr>
          <w:rFonts w:hint="eastAsia" w:asciiTheme="minorEastAsia" w:hAnsiTheme="minorEastAsia" w:eastAsiaTheme="minorEastAsia"/>
          <w:color w:val="auto"/>
          <w:sz w:val="24"/>
          <w:szCs w:val="24"/>
          <w:highlight w:val="none"/>
        </w:rPr>
      </w:pPr>
    </w:p>
    <w:p w14:paraId="0695C05F">
      <w:pPr>
        <w:spacing w:line="360" w:lineRule="auto"/>
        <w:ind w:firstLine="4228" w:firstLineChars="1762"/>
        <w:rPr>
          <w:rFonts w:hint="eastAsia" w:asciiTheme="minorEastAsia" w:hAnsiTheme="minorEastAsia" w:eastAsiaTheme="minorEastAsia"/>
          <w:color w:val="auto"/>
          <w:sz w:val="24"/>
          <w:szCs w:val="24"/>
          <w:highlight w:val="none"/>
          <w:u w:val="single"/>
        </w:rPr>
      </w:pPr>
      <w:r>
        <w:rPr>
          <w:rFonts w:hint="eastAsia" w:asciiTheme="minorEastAsia" w:hAnsiTheme="minorEastAsia" w:eastAsiaTheme="minorEastAsia"/>
          <w:color w:val="auto"/>
          <w:sz w:val="24"/>
          <w:szCs w:val="24"/>
          <w:highlight w:val="none"/>
        </w:rPr>
        <w:t>投标人</w:t>
      </w:r>
      <w:r>
        <w:rPr>
          <w:rFonts w:asciiTheme="minorEastAsia" w:hAnsiTheme="minorEastAsia" w:eastAsiaTheme="minorEastAsia"/>
          <w:color w:val="auto"/>
          <w:sz w:val="24"/>
          <w:szCs w:val="24"/>
          <w:highlight w:val="none"/>
        </w:rPr>
        <w:t>电子签章</w:t>
      </w:r>
      <w:r>
        <w:rPr>
          <w:rFonts w:hint="eastAsia" w:asciiTheme="minorEastAsia" w:hAnsiTheme="minorEastAsia" w:eastAsiaTheme="minorEastAsia"/>
          <w:color w:val="auto"/>
          <w:sz w:val="24"/>
          <w:szCs w:val="24"/>
          <w:highlight w:val="none"/>
        </w:rPr>
        <w:t>：</w:t>
      </w:r>
      <w:r>
        <w:rPr>
          <w:rFonts w:asciiTheme="minorEastAsia" w:hAnsiTheme="minorEastAsia" w:eastAsiaTheme="minorEastAsia"/>
          <w:color w:val="auto"/>
          <w:sz w:val="24"/>
          <w:szCs w:val="24"/>
          <w:highlight w:val="none"/>
          <w:u w:val="single"/>
        </w:rPr>
        <w:t xml:space="preserve">             </w:t>
      </w:r>
    </w:p>
    <w:p w14:paraId="3A01BEAD">
      <w:pPr>
        <w:tabs>
          <w:tab w:val="left" w:pos="4620"/>
        </w:tabs>
        <w:spacing w:line="360" w:lineRule="auto"/>
        <w:ind w:firstLine="4252" w:firstLineChars="1772"/>
        <w:rPr>
          <w:rFonts w:hint="eastAsia" w:asciiTheme="minorEastAsia" w:hAnsiTheme="minorEastAsia" w:eastAsiaTheme="minorEastAsia"/>
          <w:color w:val="auto"/>
          <w:sz w:val="24"/>
          <w:szCs w:val="24"/>
          <w:highlight w:val="none"/>
          <w:u w:val="single"/>
        </w:rPr>
      </w:pPr>
      <w:r>
        <w:rPr>
          <w:rFonts w:hint="eastAsia" w:asciiTheme="minorEastAsia" w:hAnsiTheme="minorEastAsia" w:eastAsiaTheme="minorEastAsia"/>
          <w:color w:val="auto"/>
          <w:sz w:val="24"/>
          <w:szCs w:val="24"/>
          <w:highlight w:val="none"/>
        </w:rPr>
        <w:t>日</w:t>
      </w:r>
      <w:r>
        <w:rPr>
          <w:rFonts w:asciiTheme="minorEastAsia" w:hAnsiTheme="minorEastAsia" w:eastAsiaTheme="minorEastAsia"/>
          <w:color w:val="auto"/>
          <w:sz w:val="24"/>
          <w:szCs w:val="24"/>
          <w:highlight w:val="none"/>
        </w:rPr>
        <w:t xml:space="preserve">      </w:t>
      </w:r>
      <w:r>
        <w:rPr>
          <w:rFonts w:hint="eastAsia" w:asciiTheme="minorEastAsia" w:hAnsiTheme="minorEastAsia" w:eastAsiaTheme="minorEastAsia"/>
          <w:color w:val="auto"/>
          <w:sz w:val="24"/>
          <w:szCs w:val="24"/>
          <w:highlight w:val="none"/>
        </w:rPr>
        <w:t xml:space="preserve">    期：</w:t>
      </w:r>
      <w:r>
        <w:rPr>
          <w:rFonts w:asciiTheme="minorEastAsia" w:hAnsiTheme="minorEastAsia" w:eastAsiaTheme="minorEastAsia"/>
          <w:color w:val="auto"/>
          <w:sz w:val="24"/>
          <w:szCs w:val="24"/>
          <w:highlight w:val="none"/>
          <w:u w:val="single"/>
        </w:rPr>
        <w:t xml:space="preserve">             </w:t>
      </w:r>
    </w:p>
    <w:p w14:paraId="6FFCB53B">
      <w:pPr>
        <w:widowControl/>
        <w:jc w:val="left"/>
        <w:rPr>
          <w:rFonts w:hint="eastAsia" w:asciiTheme="minorEastAsia" w:hAnsiTheme="minorEastAsia" w:eastAsiaTheme="minorEastAsia"/>
          <w:color w:val="auto"/>
          <w:sz w:val="24"/>
          <w:highlight w:val="none"/>
        </w:rPr>
      </w:pPr>
    </w:p>
    <w:p w14:paraId="4CC19616">
      <w:pPr>
        <w:widowControl/>
        <w:jc w:val="left"/>
        <w:rPr>
          <w:rFonts w:hint="eastAsia" w:asciiTheme="minorEastAsia" w:hAnsiTheme="minorEastAsia" w:eastAsiaTheme="minorEastAsia"/>
          <w:color w:val="auto"/>
          <w:sz w:val="24"/>
          <w:highlight w:val="none"/>
        </w:rPr>
      </w:pPr>
    </w:p>
    <w:p w14:paraId="39A7BB5C">
      <w:pPr>
        <w:widowControl/>
        <w:jc w:val="left"/>
        <w:rPr>
          <w:rFonts w:hint="eastAsia" w:asciiTheme="minorEastAsia" w:hAnsiTheme="minorEastAsia" w:eastAsiaTheme="minorEastAsia"/>
          <w:color w:val="auto"/>
          <w:sz w:val="24"/>
          <w:highlight w:val="none"/>
        </w:rPr>
      </w:pPr>
    </w:p>
    <w:p w14:paraId="72CB8B71">
      <w:pPr>
        <w:pStyle w:val="2"/>
        <w:rPr>
          <w:rFonts w:hint="eastAsia" w:asciiTheme="minorEastAsia" w:hAnsiTheme="minorEastAsia" w:eastAsiaTheme="minorEastAsia"/>
          <w:color w:val="auto"/>
          <w:highlight w:val="none"/>
        </w:rPr>
      </w:pPr>
    </w:p>
    <w:p w14:paraId="05B151C9">
      <w:pPr>
        <w:rPr>
          <w:rFonts w:hint="eastAsia" w:asciiTheme="minorEastAsia" w:hAnsiTheme="minorEastAsia" w:eastAsiaTheme="minorEastAsia"/>
          <w:color w:val="auto"/>
          <w:sz w:val="24"/>
          <w:highlight w:val="none"/>
        </w:rPr>
      </w:pPr>
    </w:p>
    <w:p w14:paraId="7E9B3680">
      <w:pPr>
        <w:pStyle w:val="2"/>
        <w:rPr>
          <w:rFonts w:hint="eastAsia" w:asciiTheme="minorEastAsia" w:hAnsiTheme="minorEastAsia" w:eastAsiaTheme="minorEastAsia"/>
          <w:color w:val="auto"/>
          <w:highlight w:val="none"/>
        </w:rPr>
      </w:pPr>
    </w:p>
    <w:p w14:paraId="2386CC54">
      <w:pPr>
        <w:rPr>
          <w:rFonts w:hint="eastAsia" w:asciiTheme="minorEastAsia" w:hAnsiTheme="minorEastAsia" w:eastAsiaTheme="minorEastAsia"/>
          <w:color w:val="auto"/>
          <w:sz w:val="24"/>
          <w:highlight w:val="none"/>
        </w:rPr>
      </w:pPr>
    </w:p>
    <w:p w14:paraId="055987DD">
      <w:pPr>
        <w:pStyle w:val="2"/>
        <w:rPr>
          <w:rFonts w:hint="eastAsia" w:asciiTheme="minorEastAsia" w:hAnsiTheme="minorEastAsia" w:eastAsiaTheme="minorEastAsia"/>
          <w:color w:val="auto"/>
          <w:highlight w:val="none"/>
        </w:rPr>
      </w:pPr>
    </w:p>
    <w:p w14:paraId="56BDD87D">
      <w:pPr>
        <w:rPr>
          <w:rFonts w:hint="eastAsia" w:asciiTheme="minorEastAsia" w:hAnsiTheme="minorEastAsia" w:eastAsiaTheme="minorEastAsia"/>
          <w:color w:val="auto"/>
          <w:sz w:val="24"/>
          <w:highlight w:val="none"/>
        </w:rPr>
      </w:pPr>
    </w:p>
    <w:p w14:paraId="4C271DE2">
      <w:pPr>
        <w:pStyle w:val="2"/>
        <w:rPr>
          <w:rFonts w:hint="eastAsia" w:asciiTheme="minorEastAsia" w:hAnsiTheme="minorEastAsia" w:eastAsiaTheme="minorEastAsia"/>
          <w:color w:val="auto"/>
          <w:highlight w:val="none"/>
        </w:rPr>
      </w:pPr>
    </w:p>
    <w:p w14:paraId="13B24537">
      <w:pPr>
        <w:rPr>
          <w:rFonts w:hint="eastAsia" w:asciiTheme="minorEastAsia" w:hAnsiTheme="minorEastAsia" w:eastAsiaTheme="minorEastAsia"/>
          <w:color w:val="auto"/>
          <w:sz w:val="24"/>
          <w:highlight w:val="none"/>
        </w:rPr>
      </w:pPr>
    </w:p>
    <w:p w14:paraId="391607DA">
      <w:pPr>
        <w:rPr>
          <w:rFonts w:hint="eastAsia"/>
          <w:color w:val="auto"/>
          <w:highlight w:val="none"/>
        </w:rPr>
      </w:pPr>
      <w:r>
        <w:rPr>
          <w:color w:val="auto"/>
          <w:highlight w:val="none"/>
        </w:rPr>
        <w:br w:type="page"/>
      </w:r>
    </w:p>
    <w:p w14:paraId="1D380ADE">
      <w:pPr>
        <w:spacing w:line="360" w:lineRule="auto"/>
        <w:jc w:val="center"/>
        <w:outlineLvl w:val="1"/>
        <w:rPr>
          <w:rFonts w:hint="eastAsia" w:asciiTheme="minorEastAsia" w:hAnsiTheme="minorEastAsia" w:eastAsiaTheme="minorEastAsia"/>
          <w:b/>
          <w:color w:val="auto"/>
          <w:sz w:val="24"/>
          <w:highlight w:val="none"/>
        </w:rPr>
      </w:pPr>
      <w:bookmarkStart w:id="98" w:name="_Toc221656378"/>
      <w:bookmarkStart w:id="99" w:name="_Toc520299348"/>
      <w:bookmarkStart w:id="100" w:name="_Toc300210382"/>
      <w:bookmarkStart w:id="101" w:name="_Toc457768004"/>
      <w:bookmarkStart w:id="102" w:name="_Toc25813"/>
      <w:bookmarkStart w:id="103" w:name="_Toc26536"/>
      <w:bookmarkStart w:id="104" w:name="_Hlk11701496"/>
      <w:r>
        <w:rPr>
          <w:rFonts w:hint="eastAsia" w:asciiTheme="minorEastAsia" w:hAnsiTheme="minorEastAsia" w:eastAsiaTheme="minorEastAsia"/>
          <w:b/>
          <w:color w:val="auto"/>
          <w:sz w:val="24"/>
          <w:highlight w:val="none"/>
        </w:rPr>
        <w:t>十一、</w:t>
      </w:r>
      <w:r>
        <w:rPr>
          <w:rFonts w:hint="eastAsia" w:ascii="宋体" w:hAnsi="宋体" w:eastAsia="宋体"/>
          <w:b/>
          <w:color w:val="auto"/>
          <w:sz w:val="24"/>
          <w:highlight w:val="none"/>
        </w:rPr>
        <w:t>关于符合本国产品标准的声明函</w:t>
      </w:r>
      <w:bookmarkEnd w:id="98"/>
    </w:p>
    <w:p w14:paraId="0A05A3DE">
      <w:pPr>
        <w:spacing w:line="360" w:lineRule="auto"/>
        <w:jc w:val="center"/>
        <w:rPr>
          <w:rFonts w:hint="eastAsia" w:ascii="宋体" w:hAnsi="宋体" w:eastAsia="宋体" w:cs="宋体"/>
          <w:color w:val="auto"/>
          <w:sz w:val="24"/>
          <w:szCs w:val="24"/>
          <w:highlight w:val="none"/>
          <w:shd w:val="clear" w:color="auto" w:fill="FFFFFF"/>
        </w:rPr>
      </w:pPr>
      <w:r>
        <w:rPr>
          <w:rFonts w:hint="eastAsia" w:ascii="宋体" w:hAnsi="宋体" w:eastAsia="宋体"/>
          <w:i/>
          <w:color w:val="auto"/>
          <w:sz w:val="24"/>
          <w:highlight w:val="none"/>
        </w:rPr>
        <w:t>（不符合本国产品扶持政策，不需此件）</w:t>
      </w:r>
    </w:p>
    <w:p w14:paraId="156C3E7D">
      <w:pPr>
        <w:pStyle w:val="19"/>
        <w:widowControl/>
        <w:spacing w:before="0" w:beforeAutospacing="0" w:after="0" w:afterAutospacing="0" w:line="360" w:lineRule="auto"/>
        <w:ind w:firstLine="420"/>
        <w:textAlignment w:val="baseline"/>
        <w:rPr>
          <w:rFonts w:hint="eastAsia" w:ascii="宋体" w:hAnsi="宋体" w:eastAsia="宋体" w:cs="宋体"/>
          <w:color w:val="auto"/>
          <w:szCs w:val="24"/>
          <w:highlight w:val="none"/>
        </w:rPr>
      </w:pPr>
      <w:r>
        <w:rPr>
          <w:rFonts w:hint="eastAsia" w:ascii="宋体" w:hAnsi="宋体" w:eastAsia="宋体" w:cs="宋体"/>
          <w:color w:val="auto"/>
          <w:szCs w:val="24"/>
          <w:highlight w:val="none"/>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74A5F5C8">
      <w:pPr>
        <w:pStyle w:val="19"/>
        <w:widowControl/>
        <w:spacing w:before="0" w:beforeAutospacing="0" w:after="0" w:afterAutospacing="0" w:line="360" w:lineRule="auto"/>
        <w:ind w:firstLine="420"/>
        <w:textAlignment w:val="baseline"/>
        <w:rPr>
          <w:rFonts w:hint="eastAsia" w:ascii="宋体" w:hAnsi="宋体" w:eastAsia="宋体" w:cs="宋体"/>
          <w:color w:val="auto"/>
          <w:szCs w:val="24"/>
          <w:highlight w:val="none"/>
        </w:rPr>
      </w:pPr>
      <w:r>
        <w:rPr>
          <w:rFonts w:hint="eastAsia" w:ascii="宋体" w:hAnsi="宋体" w:eastAsia="宋体" w:cs="宋体"/>
          <w:color w:val="auto"/>
          <w:szCs w:val="24"/>
          <w:highlight w:val="none"/>
          <w:shd w:val="clear" w:color="auto" w:fill="FFFFFF"/>
        </w:rPr>
        <w:t>1.</w:t>
      </w:r>
      <w:r>
        <w:rPr>
          <w:rStyle w:val="29"/>
          <w:rFonts w:hint="eastAsia" w:ascii="宋体" w:hAnsi="宋体" w:eastAsia="宋体" w:cs="宋体"/>
          <w:i w:val="0"/>
          <w:color w:val="auto"/>
          <w:szCs w:val="24"/>
          <w:highlight w:val="none"/>
          <w:u w:val="single"/>
          <w:shd w:val="clear" w:color="auto" w:fill="FFFFFF"/>
        </w:rPr>
        <w:t>（产品名称1）</w:t>
      </w:r>
      <w:r>
        <w:rPr>
          <w:rStyle w:val="29"/>
          <w:rFonts w:hint="eastAsia" w:ascii="宋体" w:hAnsi="宋体" w:eastAsia="宋体" w:cs="宋体"/>
          <w:i w:val="0"/>
          <w:color w:val="auto"/>
          <w:szCs w:val="24"/>
          <w:highlight w:val="none"/>
          <w:shd w:val="clear" w:color="auto" w:fill="FFFFFF"/>
          <w:vertAlign w:val="superscript"/>
        </w:rPr>
        <w:t>1</w:t>
      </w:r>
      <w:r>
        <w:rPr>
          <w:rFonts w:hint="eastAsia" w:ascii="宋体" w:hAnsi="宋体" w:eastAsia="宋体" w:cs="宋体"/>
          <w:color w:val="auto"/>
          <w:szCs w:val="24"/>
          <w:highlight w:val="none"/>
          <w:shd w:val="clear" w:color="auto" w:fill="FFFFFF"/>
        </w:rPr>
        <w:t>，生产厂为</w:t>
      </w:r>
      <w:r>
        <w:rPr>
          <w:rStyle w:val="29"/>
          <w:rFonts w:hint="eastAsia" w:ascii="宋体" w:hAnsi="宋体" w:eastAsia="宋体" w:cs="宋体"/>
          <w:i w:val="0"/>
          <w:color w:val="auto"/>
          <w:szCs w:val="24"/>
          <w:highlight w:val="none"/>
          <w:u w:val="single"/>
          <w:shd w:val="clear" w:color="auto" w:fill="FFFFFF"/>
        </w:rPr>
        <w:t>（厂名）</w:t>
      </w:r>
      <w:r>
        <w:rPr>
          <w:rStyle w:val="29"/>
          <w:rFonts w:hint="eastAsia" w:ascii="宋体" w:hAnsi="宋体" w:eastAsia="宋体" w:cs="宋体"/>
          <w:i w:val="0"/>
          <w:color w:val="auto"/>
          <w:szCs w:val="24"/>
          <w:highlight w:val="none"/>
          <w:shd w:val="clear" w:color="auto" w:fill="FFFFFF"/>
          <w:vertAlign w:val="superscript"/>
        </w:rPr>
        <w:t>2</w:t>
      </w:r>
      <w:r>
        <w:rPr>
          <w:rFonts w:hint="eastAsia" w:ascii="宋体" w:hAnsi="宋体" w:eastAsia="宋体" w:cs="宋体"/>
          <w:color w:val="auto"/>
          <w:szCs w:val="24"/>
          <w:highlight w:val="none"/>
          <w:shd w:val="clear" w:color="auto" w:fill="FFFFFF"/>
        </w:rPr>
        <w:t>，厂址为</w:t>
      </w:r>
      <w:r>
        <w:rPr>
          <w:rStyle w:val="29"/>
          <w:rFonts w:hint="eastAsia" w:ascii="宋体" w:hAnsi="宋体" w:eastAsia="宋体" w:cs="宋体"/>
          <w:i w:val="0"/>
          <w:color w:val="auto"/>
          <w:szCs w:val="24"/>
          <w:highlight w:val="none"/>
          <w:u w:val="single"/>
          <w:shd w:val="clear" w:color="auto" w:fill="FFFFFF"/>
        </w:rPr>
        <w:t>（生产厂址）</w:t>
      </w:r>
      <w:r>
        <w:rPr>
          <w:rFonts w:hint="eastAsia" w:ascii="宋体" w:hAnsi="宋体" w:eastAsia="宋体" w:cs="宋体"/>
          <w:color w:val="auto"/>
          <w:szCs w:val="24"/>
          <w:highlight w:val="none"/>
          <w:shd w:val="clear" w:color="auto" w:fill="FFFFFF"/>
        </w:rPr>
        <w:t>。</w:t>
      </w:r>
      <w:r>
        <w:rPr>
          <w:rStyle w:val="29"/>
          <w:rFonts w:hint="eastAsia" w:ascii="宋体" w:hAnsi="宋体" w:eastAsia="宋体" w:cs="宋体"/>
          <w:i w:val="0"/>
          <w:color w:val="auto"/>
          <w:szCs w:val="24"/>
          <w:highlight w:val="none"/>
          <w:u w:val="single"/>
          <w:shd w:val="clear" w:color="auto" w:fill="FFFFFF"/>
        </w:rPr>
        <w:t xml:space="preserve">  /  </w:t>
      </w:r>
      <w:r>
        <w:rPr>
          <w:rFonts w:hint="eastAsia" w:ascii="宋体" w:hAnsi="宋体" w:eastAsia="宋体" w:cs="宋体"/>
          <w:color w:val="auto"/>
          <w:szCs w:val="24"/>
          <w:highlight w:val="none"/>
          <w:shd w:val="clear" w:color="auto" w:fill="FFFFFF"/>
        </w:rPr>
        <w:t>的中国境内生产的组件成本占比≥</w:t>
      </w:r>
      <w:r>
        <w:rPr>
          <w:rStyle w:val="29"/>
          <w:rFonts w:hint="eastAsia" w:ascii="宋体" w:hAnsi="宋体" w:eastAsia="宋体" w:cs="宋体"/>
          <w:i w:val="0"/>
          <w:color w:val="auto"/>
          <w:szCs w:val="24"/>
          <w:highlight w:val="none"/>
          <w:u w:val="single"/>
          <w:shd w:val="clear" w:color="auto" w:fill="FFFFFF"/>
        </w:rPr>
        <w:t xml:space="preserve">  /  </w:t>
      </w:r>
      <w:r>
        <w:rPr>
          <w:rFonts w:hint="eastAsia" w:ascii="宋体" w:hAnsi="宋体" w:eastAsia="宋体" w:cs="宋体"/>
          <w:color w:val="auto"/>
          <w:szCs w:val="24"/>
          <w:highlight w:val="none"/>
          <w:shd w:val="clear" w:color="auto" w:fill="FFFFFF"/>
        </w:rPr>
        <w:t>。</w:t>
      </w:r>
      <w:r>
        <w:rPr>
          <w:rStyle w:val="29"/>
          <w:rFonts w:hint="eastAsia" w:ascii="宋体" w:hAnsi="宋体" w:eastAsia="宋体" w:cs="宋体"/>
          <w:i w:val="0"/>
          <w:color w:val="auto"/>
          <w:szCs w:val="24"/>
          <w:highlight w:val="none"/>
          <w:u w:val="single"/>
          <w:shd w:val="clear" w:color="auto" w:fill="FFFFFF"/>
        </w:rPr>
        <w:t xml:space="preserve">  /  </w:t>
      </w:r>
      <w:r>
        <w:rPr>
          <w:rFonts w:hint="eastAsia" w:ascii="宋体" w:hAnsi="宋体" w:eastAsia="宋体" w:cs="宋体"/>
          <w:color w:val="auto"/>
          <w:szCs w:val="24"/>
          <w:highlight w:val="none"/>
          <w:shd w:val="clear" w:color="auto" w:fill="FFFFFF"/>
        </w:rPr>
        <w:t>的</w:t>
      </w:r>
      <w:r>
        <w:rPr>
          <w:rStyle w:val="29"/>
          <w:rFonts w:hint="eastAsia" w:ascii="宋体" w:hAnsi="宋体" w:eastAsia="宋体" w:cs="宋体"/>
          <w:i w:val="0"/>
          <w:color w:val="auto"/>
          <w:szCs w:val="24"/>
          <w:highlight w:val="none"/>
          <w:u w:val="single"/>
          <w:shd w:val="clear" w:color="auto" w:fill="FFFFFF"/>
        </w:rPr>
        <w:t xml:space="preserve">  /  </w:t>
      </w:r>
      <w:r>
        <w:rPr>
          <w:rFonts w:hint="eastAsia" w:ascii="宋体" w:hAnsi="宋体" w:eastAsia="宋体" w:cs="宋体"/>
          <w:color w:val="auto"/>
          <w:szCs w:val="24"/>
          <w:highlight w:val="none"/>
          <w:shd w:val="clear" w:color="auto" w:fill="FFFFFF"/>
        </w:rPr>
        <w:t>在中国境内生产。</w:t>
      </w:r>
      <w:r>
        <w:rPr>
          <w:rStyle w:val="29"/>
          <w:rFonts w:hint="eastAsia" w:ascii="宋体" w:hAnsi="宋体" w:eastAsia="宋体" w:cs="宋体"/>
          <w:i w:val="0"/>
          <w:color w:val="auto"/>
          <w:szCs w:val="24"/>
          <w:highlight w:val="none"/>
          <w:u w:val="single"/>
          <w:shd w:val="clear" w:color="auto" w:fill="FFFFFF"/>
        </w:rPr>
        <w:t xml:space="preserve">  /  </w:t>
      </w:r>
      <w:r>
        <w:rPr>
          <w:rFonts w:hint="eastAsia" w:ascii="宋体" w:hAnsi="宋体" w:eastAsia="宋体" w:cs="宋体"/>
          <w:color w:val="auto"/>
          <w:szCs w:val="24"/>
          <w:highlight w:val="none"/>
          <w:shd w:val="clear" w:color="auto" w:fill="FFFFFF"/>
        </w:rPr>
        <w:t>的</w:t>
      </w:r>
      <w:r>
        <w:rPr>
          <w:rStyle w:val="29"/>
          <w:rFonts w:hint="eastAsia" w:ascii="宋体" w:hAnsi="宋体" w:eastAsia="宋体" w:cs="宋体"/>
          <w:i w:val="0"/>
          <w:color w:val="auto"/>
          <w:szCs w:val="24"/>
          <w:highlight w:val="none"/>
          <w:u w:val="single"/>
          <w:shd w:val="clear" w:color="auto" w:fill="FFFFFF"/>
        </w:rPr>
        <w:t xml:space="preserve">  /  </w:t>
      </w:r>
      <w:r>
        <w:rPr>
          <w:rFonts w:hint="eastAsia" w:ascii="宋体" w:hAnsi="宋体" w:eastAsia="宋体" w:cs="宋体"/>
          <w:color w:val="auto"/>
          <w:szCs w:val="24"/>
          <w:highlight w:val="none"/>
          <w:shd w:val="clear" w:color="auto" w:fill="FFFFFF"/>
        </w:rPr>
        <w:t>在中国境内完成。</w:t>
      </w:r>
    </w:p>
    <w:p w14:paraId="1DD2F896">
      <w:pPr>
        <w:pStyle w:val="19"/>
        <w:widowControl/>
        <w:spacing w:before="0" w:beforeAutospacing="0" w:after="0" w:afterAutospacing="0" w:line="360" w:lineRule="auto"/>
        <w:ind w:firstLine="420"/>
        <w:textAlignment w:val="baseline"/>
        <w:rPr>
          <w:rFonts w:hint="eastAsia" w:ascii="宋体" w:hAnsi="宋体" w:eastAsia="宋体" w:cs="宋体"/>
          <w:color w:val="auto"/>
          <w:szCs w:val="24"/>
          <w:highlight w:val="none"/>
        </w:rPr>
      </w:pPr>
      <w:r>
        <w:rPr>
          <w:rFonts w:hint="eastAsia" w:ascii="宋体" w:hAnsi="宋体" w:eastAsia="宋体" w:cs="宋体"/>
          <w:color w:val="auto"/>
          <w:szCs w:val="24"/>
          <w:highlight w:val="none"/>
          <w:shd w:val="clear" w:color="auto" w:fill="FFFFFF"/>
        </w:rPr>
        <w:t>2.</w:t>
      </w:r>
      <w:r>
        <w:rPr>
          <w:rStyle w:val="29"/>
          <w:rFonts w:hint="eastAsia" w:ascii="宋体" w:hAnsi="宋体" w:eastAsia="宋体" w:cs="宋体"/>
          <w:i w:val="0"/>
          <w:color w:val="auto"/>
          <w:szCs w:val="24"/>
          <w:highlight w:val="none"/>
          <w:u w:val="single"/>
          <w:shd w:val="clear" w:color="auto" w:fill="FFFFFF"/>
        </w:rPr>
        <w:t>（产品名称2）</w:t>
      </w:r>
      <w:r>
        <w:rPr>
          <w:rFonts w:hint="eastAsia" w:ascii="宋体" w:hAnsi="宋体" w:eastAsia="宋体" w:cs="宋体"/>
          <w:color w:val="auto"/>
          <w:szCs w:val="24"/>
          <w:highlight w:val="none"/>
          <w:shd w:val="clear" w:color="auto" w:fill="FFFFFF"/>
        </w:rPr>
        <w:t>，生产厂为</w:t>
      </w:r>
      <w:r>
        <w:rPr>
          <w:rStyle w:val="29"/>
          <w:rFonts w:hint="eastAsia" w:ascii="宋体" w:hAnsi="宋体" w:eastAsia="宋体" w:cs="宋体"/>
          <w:i w:val="0"/>
          <w:color w:val="auto"/>
          <w:szCs w:val="24"/>
          <w:highlight w:val="none"/>
          <w:u w:val="single"/>
          <w:shd w:val="clear" w:color="auto" w:fill="FFFFFF"/>
        </w:rPr>
        <w:t>（厂名）</w:t>
      </w:r>
      <w:r>
        <w:rPr>
          <w:rFonts w:hint="eastAsia" w:ascii="宋体" w:hAnsi="宋体" w:eastAsia="宋体" w:cs="宋体"/>
          <w:color w:val="auto"/>
          <w:szCs w:val="24"/>
          <w:highlight w:val="none"/>
          <w:shd w:val="clear" w:color="auto" w:fill="FFFFFF"/>
        </w:rPr>
        <w:t>，厂址为</w:t>
      </w:r>
      <w:r>
        <w:rPr>
          <w:rStyle w:val="29"/>
          <w:rFonts w:hint="eastAsia" w:ascii="宋体" w:hAnsi="宋体" w:eastAsia="宋体" w:cs="宋体"/>
          <w:i w:val="0"/>
          <w:color w:val="auto"/>
          <w:szCs w:val="24"/>
          <w:highlight w:val="none"/>
          <w:u w:val="single"/>
          <w:shd w:val="clear" w:color="auto" w:fill="FFFFFF"/>
        </w:rPr>
        <w:t>（生产厂址）</w:t>
      </w:r>
      <w:r>
        <w:rPr>
          <w:rFonts w:hint="eastAsia" w:ascii="宋体" w:hAnsi="宋体" w:eastAsia="宋体" w:cs="宋体"/>
          <w:color w:val="auto"/>
          <w:szCs w:val="24"/>
          <w:highlight w:val="none"/>
          <w:shd w:val="clear" w:color="auto" w:fill="FFFFFF"/>
        </w:rPr>
        <w:t>。</w:t>
      </w:r>
      <w:r>
        <w:rPr>
          <w:rStyle w:val="29"/>
          <w:rFonts w:hint="eastAsia" w:ascii="宋体" w:hAnsi="宋体" w:eastAsia="宋体" w:cs="宋体"/>
          <w:i w:val="0"/>
          <w:color w:val="auto"/>
          <w:szCs w:val="24"/>
          <w:highlight w:val="none"/>
          <w:u w:val="single"/>
          <w:shd w:val="clear" w:color="auto" w:fill="FFFFFF"/>
        </w:rPr>
        <w:t xml:space="preserve">  /  </w:t>
      </w:r>
      <w:r>
        <w:rPr>
          <w:rFonts w:hint="eastAsia" w:ascii="宋体" w:hAnsi="宋体" w:eastAsia="宋体" w:cs="宋体"/>
          <w:color w:val="auto"/>
          <w:szCs w:val="24"/>
          <w:highlight w:val="none"/>
          <w:shd w:val="clear" w:color="auto" w:fill="FFFFFF"/>
        </w:rPr>
        <w:t>的中国境内生产的组件成本占比≥</w:t>
      </w:r>
      <w:r>
        <w:rPr>
          <w:rStyle w:val="29"/>
          <w:rFonts w:hint="eastAsia" w:ascii="宋体" w:hAnsi="宋体" w:eastAsia="宋体" w:cs="宋体"/>
          <w:i w:val="0"/>
          <w:color w:val="auto"/>
          <w:szCs w:val="24"/>
          <w:highlight w:val="none"/>
          <w:u w:val="single"/>
          <w:shd w:val="clear" w:color="auto" w:fill="FFFFFF"/>
        </w:rPr>
        <w:t xml:space="preserve">  /  </w:t>
      </w:r>
      <w:r>
        <w:rPr>
          <w:rFonts w:hint="eastAsia" w:ascii="宋体" w:hAnsi="宋体" w:eastAsia="宋体" w:cs="宋体"/>
          <w:color w:val="auto"/>
          <w:szCs w:val="24"/>
          <w:highlight w:val="none"/>
          <w:shd w:val="clear" w:color="auto" w:fill="FFFFFF"/>
        </w:rPr>
        <w:t>。</w:t>
      </w:r>
      <w:r>
        <w:rPr>
          <w:rStyle w:val="29"/>
          <w:rFonts w:hint="eastAsia" w:ascii="宋体" w:hAnsi="宋体" w:eastAsia="宋体" w:cs="宋体"/>
          <w:i w:val="0"/>
          <w:color w:val="auto"/>
          <w:szCs w:val="24"/>
          <w:highlight w:val="none"/>
          <w:u w:val="single"/>
          <w:shd w:val="clear" w:color="auto" w:fill="FFFFFF"/>
        </w:rPr>
        <w:t xml:space="preserve">  /  </w:t>
      </w:r>
      <w:r>
        <w:rPr>
          <w:rFonts w:hint="eastAsia" w:ascii="宋体" w:hAnsi="宋体" w:eastAsia="宋体" w:cs="宋体"/>
          <w:color w:val="auto"/>
          <w:szCs w:val="24"/>
          <w:highlight w:val="none"/>
          <w:shd w:val="clear" w:color="auto" w:fill="FFFFFF"/>
        </w:rPr>
        <w:t>的</w:t>
      </w:r>
      <w:r>
        <w:rPr>
          <w:rStyle w:val="29"/>
          <w:rFonts w:hint="eastAsia" w:ascii="宋体" w:hAnsi="宋体" w:eastAsia="宋体" w:cs="宋体"/>
          <w:i w:val="0"/>
          <w:color w:val="auto"/>
          <w:szCs w:val="24"/>
          <w:highlight w:val="none"/>
          <w:u w:val="single"/>
          <w:shd w:val="clear" w:color="auto" w:fill="FFFFFF"/>
        </w:rPr>
        <w:t xml:space="preserve">  /  </w:t>
      </w:r>
      <w:r>
        <w:rPr>
          <w:rFonts w:hint="eastAsia" w:ascii="宋体" w:hAnsi="宋体" w:eastAsia="宋体" w:cs="宋体"/>
          <w:color w:val="auto"/>
          <w:szCs w:val="24"/>
          <w:highlight w:val="none"/>
          <w:shd w:val="clear" w:color="auto" w:fill="FFFFFF"/>
        </w:rPr>
        <w:t>在中国境内生产。</w:t>
      </w:r>
      <w:r>
        <w:rPr>
          <w:rStyle w:val="29"/>
          <w:rFonts w:hint="eastAsia" w:ascii="宋体" w:hAnsi="宋体" w:eastAsia="宋体" w:cs="宋体"/>
          <w:i w:val="0"/>
          <w:color w:val="auto"/>
          <w:szCs w:val="24"/>
          <w:highlight w:val="none"/>
          <w:u w:val="single"/>
          <w:shd w:val="clear" w:color="auto" w:fill="FFFFFF"/>
        </w:rPr>
        <w:t xml:space="preserve">  /  </w:t>
      </w:r>
      <w:r>
        <w:rPr>
          <w:rFonts w:hint="eastAsia" w:ascii="宋体" w:hAnsi="宋体" w:eastAsia="宋体" w:cs="宋体"/>
          <w:color w:val="auto"/>
          <w:szCs w:val="24"/>
          <w:highlight w:val="none"/>
          <w:shd w:val="clear" w:color="auto" w:fill="FFFFFF"/>
        </w:rPr>
        <w:t>的</w:t>
      </w:r>
      <w:r>
        <w:rPr>
          <w:rStyle w:val="29"/>
          <w:rFonts w:hint="eastAsia" w:ascii="宋体" w:hAnsi="宋体" w:eastAsia="宋体" w:cs="宋体"/>
          <w:i w:val="0"/>
          <w:color w:val="auto"/>
          <w:szCs w:val="24"/>
          <w:highlight w:val="none"/>
          <w:u w:val="single"/>
          <w:shd w:val="clear" w:color="auto" w:fill="FFFFFF"/>
        </w:rPr>
        <w:t xml:space="preserve">  /  </w:t>
      </w:r>
      <w:r>
        <w:rPr>
          <w:rFonts w:hint="eastAsia" w:ascii="宋体" w:hAnsi="宋体" w:eastAsia="宋体" w:cs="宋体"/>
          <w:color w:val="auto"/>
          <w:szCs w:val="24"/>
          <w:highlight w:val="none"/>
          <w:shd w:val="clear" w:color="auto" w:fill="FFFFFF"/>
        </w:rPr>
        <w:t>在中国境内完成。</w:t>
      </w:r>
    </w:p>
    <w:p w14:paraId="419760F1">
      <w:pPr>
        <w:pStyle w:val="19"/>
        <w:widowControl/>
        <w:spacing w:before="0" w:beforeAutospacing="0" w:after="0" w:afterAutospacing="0" w:line="360" w:lineRule="auto"/>
        <w:ind w:firstLine="420"/>
        <w:textAlignment w:val="baseline"/>
        <w:rPr>
          <w:rFonts w:hint="eastAsia" w:ascii="宋体" w:hAnsi="宋体" w:eastAsia="宋体" w:cs="宋体"/>
          <w:color w:val="auto"/>
          <w:szCs w:val="24"/>
          <w:highlight w:val="none"/>
        </w:rPr>
      </w:pPr>
      <w:r>
        <w:rPr>
          <w:rFonts w:hint="eastAsia" w:ascii="宋体" w:hAnsi="宋体" w:eastAsia="宋体" w:cs="宋体"/>
          <w:color w:val="auto"/>
          <w:szCs w:val="24"/>
          <w:highlight w:val="none"/>
          <w:shd w:val="clear" w:color="auto" w:fill="FFFFFF"/>
        </w:rPr>
        <w:t>……</w:t>
      </w:r>
    </w:p>
    <w:p w14:paraId="676EDE35">
      <w:pPr>
        <w:pStyle w:val="19"/>
        <w:widowControl/>
        <w:spacing w:before="0" w:beforeAutospacing="0" w:after="0" w:afterAutospacing="0" w:line="360" w:lineRule="auto"/>
        <w:ind w:firstLine="420"/>
        <w:textAlignment w:val="baseline"/>
        <w:rPr>
          <w:rFonts w:hint="eastAsia" w:ascii="宋体" w:hAnsi="宋体" w:eastAsia="宋体" w:cs="宋体"/>
          <w:color w:val="auto"/>
          <w:szCs w:val="24"/>
          <w:highlight w:val="none"/>
        </w:rPr>
      </w:pPr>
      <w:r>
        <w:rPr>
          <w:rFonts w:hint="eastAsia" w:ascii="宋体" w:hAnsi="宋体" w:eastAsia="宋体" w:cs="宋体"/>
          <w:color w:val="auto"/>
          <w:szCs w:val="24"/>
          <w:highlight w:val="none"/>
          <w:shd w:val="clear" w:color="auto" w:fill="FFFFFF"/>
        </w:rPr>
        <w:t>本公司（单位）对上述声明内容的真实性负责。如有虚假，愿承担相应法律责任。</w:t>
      </w:r>
    </w:p>
    <w:p w14:paraId="234F7D3C">
      <w:pPr>
        <w:spacing w:line="360" w:lineRule="auto"/>
        <w:ind w:firstLine="4228" w:firstLineChars="1762"/>
        <w:rPr>
          <w:rFonts w:hint="eastAsia" w:ascii="宋体" w:hAnsi="宋体" w:eastAsia="宋体"/>
          <w:color w:val="auto"/>
          <w:sz w:val="24"/>
          <w:szCs w:val="24"/>
          <w:highlight w:val="none"/>
          <w:u w:val="single"/>
        </w:rPr>
      </w:pPr>
      <w:r>
        <w:rPr>
          <w:rFonts w:hint="eastAsia" w:ascii="宋体" w:hAnsi="宋体" w:eastAsia="宋体"/>
          <w:color w:val="auto"/>
          <w:sz w:val="24"/>
          <w:szCs w:val="24"/>
          <w:highlight w:val="none"/>
        </w:rPr>
        <w:t>投标人</w:t>
      </w:r>
      <w:r>
        <w:rPr>
          <w:rFonts w:ascii="宋体" w:hAnsi="宋体" w:eastAsia="宋体"/>
          <w:color w:val="auto"/>
          <w:sz w:val="24"/>
          <w:szCs w:val="24"/>
          <w:highlight w:val="none"/>
        </w:rPr>
        <w:t>电子签章</w:t>
      </w:r>
      <w:r>
        <w:rPr>
          <w:rFonts w:hint="eastAsia" w:ascii="宋体" w:hAnsi="宋体" w:eastAsia="宋体"/>
          <w:color w:val="auto"/>
          <w:sz w:val="24"/>
          <w:szCs w:val="24"/>
          <w:highlight w:val="none"/>
        </w:rPr>
        <w:t>：</w:t>
      </w:r>
      <w:r>
        <w:rPr>
          <w:rFonts w:ascii="宋体" w:hAnsi="宋体" w:eastAsia="宋体"/>
          <w:color w:val="auto"/>
          <w:sz w:val="24"/>
          <w:szCs w:val="24"/>
          <w:highlight w:val="none"/>
          <w:u w:val="single"/>
        </w:rPr>
        <w:t xml:space="preserve">             </w:t>
      </w:r>
    </w:p>
    <w:p w14:paraId="3B842271">
      <w:pPr>
        <w:tabs>
          <w:tab w:val="left" w:pos="4620"/>
        </w:tabs>
        <w:spacing w:line="360" w:lineRule="auto"/>
        <w:ind w:firstLine="4252" w:firstLineChars="1772"/>
        <w:rPr>
          <w:rFonts w:hint="eastAsia" w:ascii="宋体" w:hAnsi="宋体" w:eastAsia="宋体" w:cs="宋体"/>
          <w:color w:val="auto"/>
          <w:sz w:val="24"/>
          <w:szCs w:val="24"/>
          <w:highlight w:val="none"/>
          <w:shd w:val="clear" w:color="auto" w:fill="FFFFFF"/>
        </w:rPr>
      </w:pPr>
      <w:r>
        <w:rPr>
          <w:rFonts w:hint="eastAsia" w:ascii="宋体" w:hAnsi="宋体" w:eastAsia="宋体"/>
          <w:color w:val="auto"/>
          <w:sz w:val="24"/>
          <w:szCs w:val="24"/>
          <w:highlight w:val="none"/>
        </w:rPr>
        <w:t>日</w:t>
      </w:r>
      <w:r>
        <w:rPr>
          <w:rFonts w:ascii="宋体" w:hAnsi="宋体" w:eastAsia="宋体"/>
          <w:color w:val="auto"/>
          <w:sz w:val="24"/>
          <w:szCs w:val="24"/>
          <w:highlight w:val="none"/>
        </w:rPr>
        <w:t xml:space="preserve">      </w:t>
      </w:r>
      <w:r>
        <w:rPr>
          <w:rFonts w:hint="eastAsia" w:ascii="宋体" w:hAnsi="宋体" w:eastAsia="宋体"/>
          <w:color w:val="auto"/>
          <w:sz w:val="24"/>
          <w:szCs w:val="24"/>
          <w:highlight w:val="none"/>
        </w:rPr>
        <w:t xml:space="preserve">    期：</w:t>
      </w:r>
      <w:r>
        <w:rPr>
          <w:rFonts w:ascii="宋体" w:hAnsi="宋体" w:eastAsia="宋体"/>
          <w:color w:val="auto"/>
          <w:sz w:val="24"/>
          <w:szCs w:val="24"/>
          <w:highlight w:val="none"/>
          <w:u w:val="single"/>
        </w:rPr>
        <w:t xml:space="preserve">             </w:t>
      </w:r>
    </w:p>
    <w:p w14:paraId="572A1301">
      <w:pPr>
        <w:tabs>
          <w:tab w:val="left" w:pos="4620"/>
        </w:tabs>
        <w:spacing w:line="360" w:lineRule="auto"/>
        <w:jc w:val="left"/>
        <w:rPr>
          <w:rFonts w:hint="eastAsia" w:ascii="宋体" w:hAnsi="宋体" w:eastAsia="宋体"/>
          <w:bCs/>
          <w:color w:val="auto"/>
          <w:szCs w:val="24"/>
          <w:highlight w:val="none"/>
        </w:rPr>
      </w:pPr>
      <w:r>
        <w:rPr>
          <w:rFonts w:hint="eastAsia" w:ascii="宋体" w:hAnsi="宋体" w:eastAsia="宋体" w:cs="Times New Roman"/>
          <w:b/>
          <w:color w:val="auto"/>
          <w:szCs w:val="24"/>
          <w:highlight w:val="none"/>
        </w:rPr>
        <w:t>注：</w:t>
      </w:r>
    </w:p>
    <w:p w14:paraId="0427F1EC">
      <w:pPr>
        <w:tabs>
          <w:tab w:val="left" w:pos="4620"/>
        </w:tabs>
        <w:spacing w:line="360" w:lineRule="auto"/>
        <w:jc w:val="left"/>
        <w:rPr>
          <w:rFonts w:hint="eastAsia" w:ascii="宋体" w:hAnsi="宋体" w:eastAsia="宋体"/>
          <w:bCs/>
          <w:color w:val="auto"/>
          <w:szCs w:val="24"/>
          <w:highlight w:val="none"/>
        </w:rPr>
      </w:pPr>
      <w:r>
        <w:rPr>
          <w:rFonts w:hint="eastAsia" w:ascii="宋体" w:hAnsi="宋体" w:eastAsia="宋体"/>
          <w:bCs/>
          <w:color w:val="auto"/>
          <w:szCs w:val="24"/>
          <w:highlight w:val="none"/>
        </w:rPr>
        <w:t>1.产品如有型号，请在“产品名称”栏一并填写。</w:t>
      </w:r>
    </w:p>
    <w:p w14:paraId="0B789513">
      <w:pPr>
        <w:tabs>
          <w:tab w:val="left" w:pos="4620"/>
        </w:tabs>
        <w:spacing w:line="360" w:lineRule="auto"/>
        <w:jc w:val="left"/>
        <w:rPr>
          <w:rFonts w:hint="eastAsia" w:ascii="宋体" w:hAnsi="宋体" w:eastAsia="宋体"/>
          <w:bCs/>
          <w:color w:val="auto"/>
          <w:szCs w:val="24"/>
          <w:highlight w:val="none"/>
        </w:rPr>
      </w:pPr>
      <w:r>
        <w:rPr>
          <w:rFonts w:hint="eastAsia" w:ascii="宋体" w:hAnsi="宋体" w:eastAsia="宋体"/>
          <w:bCs/>
          <w:color w:val="auto"/>
          <w:szCs w:val="24"/>
          <w:highlight w:val="none"/>
        </w:rPr>
        <w:t>2.生产厂名与厂址应与生产厂营业执照载明的相关信息保持一致。</w:t>
      </w:r>
    </w:p>
    <w:p w14:paraId="2BFB9F11">
      <w:pPr>
        <w:tabs>
          <w:tab w:val="left" w:pos="4620"/>
        </w:tabs>
        <w:spacing w:line="360" w:lineRule="auto"/>
        <w:jc w:val="left"/>
        <w:rPr>
          <w:rFonts w:hint="eastAsia" w:ascii="宋体" w:hAnsi="宋体" w:eastAsia="宋体" w:cs="Times New Roman"/>
          <w:bCs/>
          <w:color w:val="auto"/>
          <w:szCs w:val="24"/>
          <w:highlight w:val="none"/>
        </w:rPr>
      </w:pPr>
      <w:r>
        <w:rPr>
          <w:rFonts w:hint="eastAsia" w:ascii="宋体" w:hAnsi="宋体" w:eastAsia="宋体" w:cs="Times New Roman"/>
          <w:bCs/>
          <w:color w:val="auto"/>
          <w:szCs w:val="24"/>
          <w:highlight w:val="none"/>
        </w:rPr>
        <w:t>3.上述声明函中标注</w:t>
      </w:r>
      <w:r>
        <w:rPr>
          <w:rFonts w:hint="eastAsia" w:ascii="宋体" w:hAnsi="宋体" w:eastAsia="宋体" w:cs="Times New Roman"/>
          <w:bCs/>
          <w:color w:val="auto"/>
          <w:szCs w:val="24"/>
          <w:highlight w:val="none"/>
          <w:u w:val="single"/>
        </w:rPr>
        <w:t xml:space="preserve">  /  </w:t>
      </w:r>
      <w:r>
        <w:rPr>
          <w:rFonts w:hint="eastAsia" w:ascii="宋体" w:hAnsi="宋体" w:eastAsia="宋体" w:cs="Times New Roman"/>
          <w:bCs/>
          <w:color w:val="auto"/>
          <w:szCs w:val="24"/>
          <w:highlight w:val="none"/>
        </w:rPr>
        <w:t>的，无需填写。</w:t>
      </w:r>
    </w:p>
    <w:p w14:paraId="6F122C9C">
      <w:pPr>
        <w:tabs>
          <w:tab w:val="left" w:pos="4620"/>
        </w:tabs>
        <w:spacing w:line="360" w:lineRule="auto"/>
        <w:jc w:val="left"/>
        <w:rPr>
          <w:rFonts w:hint="eastAsia" w:ascii="宋体" w:hAnsi="宋体" w:eastAsia="宋体" w:cs="Times New Roman"/>
          <w:bCs/>
          <w:color w:val="auto"/>
          <w:szCs w:val="24"/>
          <w:highlight w:val="none"/>
        </w:rPr>
      </w:pPr>
      <w:r>
        <w:rPr>
          <w:rFonts w:hint="eastAsia" w:ascii="宋体" w:hAnsi="宋体" w:eastAsia="宋体" w:cs="Times New Roman"/>
          <w:bCs/>
          <w:color w:val="auto"/>
          <w:szCs w:val="21"/>
          <w:highlight w:val="none"/>
        </w:rPr>
        <w:t>4.投标人应当结合“五、投标分项报价表-货物部分”相关信息进行填写。</w:t>
      </w:r>
    </w:p>
    <w:p w14:paraId="274649EB">
      <w:pPr>
        <w:spacing w:line="360" w:lineRule="auto"/>
        <w:rPr>
          <w:rFonts w:hint="eastAsia" w:ascii="宋体" w:hAnsi="宋体" w:eastAsia="宋体" w:cs="Times New Roman"/>
          <w:bCs/>
          <w:color w:val="auto"/>
          <w:szCs w:val="21"/>
          <w:highlight w:val="none"/>
        </w:rPr>
      </w:pPr>
      <w:r>
        <w:rPr>
          <w:rFonts w:hint="eastAsia" w:ascii="宋体" w:hAnsi="宋体" w:eastAsia="宋体" w:cs="Times New Roman"/>
          <w:bCs/>
          <w:color w:val="auto"/>
          <w:szCs w:val="21"/>
          <w:highlight w:val="none"/>
        </w:rPr>
        <w:t>5.根据《国务院办公厅关于在政府采购中实施本国产品标准及相关政策的通知》（国办发〔2025〕34号）和财政部工业和信息化部关于贯彻落实《国务院办公厅关于在政府采购中实施本国产品标准及相关政策的通知》的意见（财库〔2025〕30号），本项目所称的本国产品是指在中国境内生产的产品，即在中华人民共和国关境内实现从原材料、组件到产品的属性改变。在国内保税区、综合保税区等海关特殊监管区域生产的产品，属于在中国境内生产的产品；对医疗器械产品，取得药品监督管理部门授予的准字号医疗器械注册证的，属于在中国境内生产的产品；其他产品，根据实际情况判断是否在中国境内生产。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4E8E8FEA">
      <w:pPr>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br w:type="page"/>
      </w:r>
    </w:p>
    <w:p w14:paraId="4E33F227">
      <w:pPr>
        <w:spacing w:line="360" w:lineRule="auto"/>
        <w:jc w:val="center"/>
        <w:outlineLvl w:val="1"/>
        <w:rPr>
          <w:rFonts w:hint="eastAsia" w:asciiTheme="minorEastAsia" w:hAnsiTheme="minorEastAsia" w:eastAsiaTheme="minorEastAsia"/>
          <w:b/>
          <w:color w:val="auto"/>
          <w:sz w:val="24"/>
          <w:highlight w:val="none"/>
        </w:rPr>
      </w:pPr>
      <w:bookmarkStart w:id="105" w:name="_Toc221656379"/>
      <w:r>
        <w:rPr>
          <w:rFonts w:hint="eastAsia" w:asciiTheme="minorEastAsia" w:hAnsiTheme="minorEastAsia" w:eastAsiaTheme="minorEastAsia"/>
          <w:b/>
          <w:color w:val="auto"/>
          <w:sz w:val="24"/>
          <w:highlight w:val="none"/>
        </w:rPr>
        <w:t>十二、</w:t>
      </w:r>
      <w:bookmarkEnd w:id="99"/>
      <w:bookmarkEnd w:id="100"/>
      <w:bookmarkEnd w:id="101"/>
      <w:r>
        <w:rPr>
          <w:rFonts w:hint="eastAsia" w:asciiTheme="minorEastAsia" w:hAnsiTheme="minorEastAsia" w:eastAsiaTheme="minorEastAsia"/>
          <w:b/>
          <w:color w:val="auto"/>
          <w:sz w:val="24"/>
          <w:highlight w:val="none"/>
        </w:rPr>
        <w:t>诚信履约承诺函</w:t>
      </w:r>
      <w:bookmarkEnd w:id="102"/>
      <w:bookmarkEnd w:id="103"/>
      <w:bookmarkEnd w:id="105"/>
    </w:p>
    <w:p w14:paraId="39DD9C75">
      <w:pPr>
        <w:spacing w:line="360" w:lineRule="auto"/>
        <w:rPr>
          <w:rFonts w:hint="eastAsia" w:asciiTheme="minorEastAsia" w:hAnsiTheme="minorEastAsia" w:eastAsiaTheme="minorEastAsia"/>
          <w:b/>
          <w:bCs/>
          <w:color w:val="auto"/>
          <w:sz w:val="24"/>
          <w:highlight w:val="none"/>
        </w:rPr>
      </w:pPr>
    </w:p>
    <w:p w14:paraId="05C809A0">
      <w:pPr>
        <w:spacing w:line="360" w:lineRule="auto"/>
        <w:rPr>
          <w:rFonts w:hint="eastAsia" w:asciiTheme="minorEastAsia" w:hAnsiTheme="minorEastAsia" w:eastAsiaTheme="minorEastAsia"/>
          <w:b/>
          <w:bCs/>
          <w:color w:val="auto"/>
          <w:sz w:val="24"/>
          <w:szCs w:val="22"/>
          <w:highlight w:val="none"/>
        </w:rPr>
      </w:pPr>
      <w:r>
        <w:rPr>
          <w:rFonts w:hint="eastAsia" w:asciiTheme="minorEastAsia" w:hAnsiTheme="minorEastAsia" w:eastAsiaTheme="minorEastAsia"/>
          <w:b/>
          <w:bCs/>
          <w:color w:val="auto"/>
          <w:sz w:val="24"/>
          <w:szCs w:val="22"/>
          <w:highlight w:val="none"/>
        </w:rPr>
        <w:t>致：</w:t>
      </w:r>
      <w:r>
        <w:rPr>
          <w:rFonts w:hint="eastAsia" w:asciiTheme="minorEastAsia" w:hAnsiTheme="minorEastAsia" w:eastAsiaTheme="minorEastAsia"/>
          <w:b/>
          <w:bCs/>
          <w:color w:val="auto"/>
          <w:sz w:val="24"/>
          <w:szCs w:val="22"/>
          <w:highlight w:val="none"/>
          <w:u w:val="single"/>
        </w:rPr>
        <w:t xml:space="preserve">   （采购人全称）</w:t>
      </w:r>
    </w:p>
    <w:p w14:paraId="6625FFC9">
      <w:pPr>
        <w:spacing w:line="360" w:lineRule="auto"/>
        <w:ind w:firstLine="480" w:firstLineChars="200"/>
        <w:rPr>
          <w:rFonts w:hint="eastAsia"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如我单位被确定为本项目中标人，我单位承诺在合同签订及履约过程中将严格执行《中华人民共和国政府采购法》、《中华人民共和国政府采购法实施条例》及本项目采购文件中关于合同签订及履约的相关规定，不出现以下情形：</w:t>
      </w:r>
    </w:p>
    <w:p w14:paraId="5AD2B8DB">
      <w:pPr>
        <w:spacing w:line="360" w:lineRule="auto"/>
        <w:ind w:firstLine="480" w:firstLineChars="200"/>
        <w:rPr>
          <w:rFonts w:hint="eastAsia"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（1）中标或者成交后无正当理由拒不与采购人签订政府采购合同；</w:t>
      </w:r>
    </w:p>
    <w:p w14:paraId="610A868B">
      <w:pPr>
        <w:spacing w:line="360" w:lineRule="auto"/>
        <w:ind w:firstLine="480" w:firstLineChars="200"/>
        <w:rPr>
          <w:rFonts w:hint="eastAsia"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（2）未按照采购文件确定的事项签订政府采购合同；</w:t>
      </w:r>
    </w:p>
    <w:p w14:paraId="6BD86C4B">
      <w:pPr>
        <w:spacing w:line="360" w:lineRule="auto"/>
        <w:ind w:firstLine="480" w:firstLineChars="200"/>
        <w:rPr>
          <w:rFonts w:hint="eastAsia"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（3）将政府采购合同转包；</w:t>
      </w:r>
    </w:p>
    <w:p w14:paraId="68BF655E">
      <w:pPr>
        <w:spacing w:line="360" w:lineRule="auto"/>
        <w:ind w:firstLine="480" w:firstLineChars="200"/>
        <w:rPr>
          <w:rFonts w:hint="eastAsia"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（4）提供假冒伪劣产品；</w:t>
      </w:r>
    </w:p>
    <w:p w14:paraId="11A0A530">
      <w:pPr>
        <w:spacing w:line="360" w:lineRule="auto"/>
        <w:ind w:firstLine="480" w:firstLineChars="200"/>
        <w:rPr>
          <w:rFonts w:hint="eastAsia"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（5）擅自变更、中止或者终止政府采购合同。</w:t>
      </w:r>
    </w:p>
    <w:p w14:paraId="5AEDD457">
      <w:pPr>
        <w:spacing w:line="360" w:lineRule="auto"/>
        <w:ind w:firstLine="480" w:firstLineChars="200"/>
        <w:rPr>
          <w:rFonts w:hint="eastAsia"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本单位知悉如出现上述情形，将会被依法追究法律责任，可能的处理结果有：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70F7E665">
      <w:pPr>
        <w:spacing w:line="360" w:lineRule="auto"/>
        <w:rPr>
          <w:rFonts w:hint="eastAsia" w:asciiTheme="minorEastAsia" w:hAnsiTheme="minorEastAsia" w:eastAsiaTheme="minorEastAsia"/>
          <w:bCs/>
          <w:color w:val="auto"/>
          <w:sz w:val="24"/>
          <w:highlight w:val="none"/>
        </w:rPr>
      </w:pPr>
    </w:p>
    <w:p w14:paraId="714E93E5">
      <w:pPr>
        <w:spacing w:line="360" w:lineRule="auto"/>
        <w:rPr>
          <w:rFonts w:hint="eastAsia" w:asciiTheme="minorEastAsia" w:hAnsiTheme="minorEastAsia" w:eastAsiaTheme="minorEastAsia"/>
          <w:bCs/>
          <w:color w:val="auto"/>
          <w:sz w:val="24"/>
          <w:highlight w:val="none"/>
        </w:rPr>
      </w:pPr>
    </w:p>
    <w:p w14:paraId="6E8CA4E9">
      <w:pPr>
        <w:spacing w:line="360" w:lineRule="auto"/>
        <w:ind w:firstLine="4320" w:firstLineChars="1800"/>
        <w:rPr>
          <w:rFonts w:hint="eastAsia" w:asciiTheme="minorEastAsia" w:hAnsiTheme="minorEastAsia" w:eastAsiaTheme="minorEastAsia"/>
          <w:bCs/>
          <w:color w:val="auto"/>
          <w:sz w:val="24"/>
          <w:highlight w:val="none"/>
          <w:u w:val="single"/>
        </w:rPr>
      </w:pPr>
      <w:r>
        <w:rPr>
          <w:rFonts w:hint="eastAsia" w:asciiTheme="minorEastAsia" w:hAnsiTheme="minorEastAsia" w:eastAsiaTheme="minorEastAsia"/>
          <w:bCs/>
          <w:color w:val="auto"/>
          <w:sz w:val="24"/>
          <w:highlight w:val="none"/>
        </w:rPr>
        <w:t>投标人电子签章：</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p>
    <w:p w14:paraId="249F6E11">
      <w:pPr>
        <w:spacing w:line="360" w:lineRule="auto"/>
        <w:ind w:firstLine="4320" w:firstLineChars="1800"/>
        <w:rPr>
          <w:rFonts w:hint="eastAsia"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日          期：</w:t>
      </w:r>
      <w:r>
        <w:rPr>
          <w:rFonts w:hint="eastAsia" w:asciiTheme="minorEastAsia" w:hAnsiTheme="minorEastAsia" w:eastAsiaTheme="minorEastAsia"/>
          <w:bCs/>
          <w:color w:val="auto"/>
          <w:sz w:val="24"/>
          <w:highlight w:val="none"/>
          <w:u w:val="single"/>
        </w:rPr>
        <w:t xml:space="preserve">             </w:t>
      </w:r>
    </w:p>
    <w:p w14:paraId="134E398D">
      <w:pPr>
        <w:widowControl/>
        <w:jc w:val="left"/>
        <w:rPr>
          <w:rFonts w:hint="eastAsia" w:ascii="宋体" w:hAnsi="宋体" w:eastAsia="宋体" w:cs="Arial"/>
          <w:color w:val="auto"/>
          <w:sz w:val="24"/>
          <w:highlight w:val="none"/>
        </w:rPr>
      </w:pPr>
    </w:p>
    <w:p w14:paraId="3B02929E">
      <w:pPr>
        <w:widowControl/>
        <w:jc w:val="left"/>
        <w:rPr>
          <w:rFonts w:hint="eastAsia" w:ascii="宋体" w:hAnsi="宋体" w:eastAsia="宋体" w:cs="Arial"/>
          <w:color w:val="auto"/>
          <w:sz w:val="24"/>
          <w:highlight w:val="none"/>
        </w:rPr>
      </w:pPr>
    </w:p>
    <w:p w14:paraId="6CBF7A4F">
      <w:pPr>
        <w:widowControl/>
        <w:jc w:val="left"/>
        <w:rPr>
          <w:rFonts w:hint="eastAsia" w:ascii="宋体" w:hAnsi="宋体" w:eastAsia="宋体" w:cs="Arial"/>
          <w:color w:val="auto"/>
          <w:sz w:val="24"/>
          <w:highlight w:val="none"/>
        </w:rPr>
      </w:pPr>
    </w:p>
    <w:p w14:paraId="08C40A69">
      <w:pPr>
        <w:widowControl/>
        <w:jc w:val="left"/>
        <w:rPr>
          <w:rFonts w:hint="eastAsia" w:ascii="宋体" w:hAnsi="宋体" w:eastAsia="宋体" w:cs="Arial"/>
          <w:color w:val="auto"/>
          <w:sz w:val="24"/>
          <w:highlight w:val="none"/>
        </w:rPr>
      </w:pPr>
    </w:p>
    <w:p w14:paraId="63D00C39">
      <w:pPr>
        <w:widowControl/>
        <w:jc w:val="left"/>
        <w:rPr>
          <w:rFonts w:hint="eastAsia" w:ascii="宋体" w:hAnsi="宋体" w:eastAsia="宋体" w:cs="Arial"/>
          <w:color w:val="auto"/>
          <w:sz w:val="24"/>
          <w:highlight w:val="none"/>
        </w:rPr>
      </w:pPr>
    </w:p>
    <w:p w14:paraId="3F71DBBF">
      <w:pPr>
        <w:widowControl/>
        <w:jc w:val="left"/>
        <w:rPr>
          <w:rFonts w:hint="eastAsia" w:ascii="宋体" w:hAnsi="宋体" w:eastAsia="宋体" w:cs="Arial"/>
          <w:color w:val="auto"/>
          <w:sz w:val="24"/>
          <w:highlight w:val="none"/>
        </w:rPr>
      </w:pPr>
    </w:p>
    <w:p w14:paraId="0E07FD97">
      <w:pPr>
        <w:widowControl/>
        <w:jc w:val="left"/>
        <w:rPr>
          <w:rFonts w:hint="eastAsia" w:ascii="宋体" w:hAnsi="宋体" w:eastAsia="宋体" w:cs="Arial"/>
          <w:color w:val="auto"/>
          <w:sz w:val="24"/>
          <w:highlight w:val="none"/>
        </w:rPr>
      </w:pPr>
    </w:p>
    <w:p w14:paraId="63983D1B">
      <w:pPr>
        <w:widowControl/>
        <w:jc w:val="left"/>
        <w:rPr>
          <w:rFonts w:hint="eastAsia" w:ascii="宋体" w:hAnsi="宋体" w:eastAsia="宋体" w:cs="Arial"/>
          <w:color w:val="auto"/>
          <w:sz w:val="24"/>
          <w:highlight w:val="none"/>
        </w:rPr>
      </w:pPr>
    </w:p>
    <w:p w14:paraId="626D17F0">
      <w:pPr>
        <w:widowControl/>
        <w:jc w:val="left"/>
        <w:rPr>
          <w:rFonts w:hint="eastAsia" w:ascii="宋体" w:hAnsi="宋体" w:eastAsia="宋体" w:cs="Arial"/>
          <w:color w:val="auto"/>
          <w:sz w:val="24"/>
          <w:highlight w:val="none"/>
        </w:rPr>
      </w:pPr>
    </w:p>
    <w:p w14:paraId="0E3C37F2">
      <w:pPr>
        <w:widowControl/>
        <w:jc w:val="left"/>
        <w:rPr>
          <w:rFonts w:hint="eastAsia" w:ascii="宋体" w:hAnsi="宋体" w:eastAsia="宋体" w:cs="Arial"/>
          <w:color w:val="auto"/>
          <w:sz w:val="24"/>
          <w:highlight w:val="none"/>
        </w:rPr>
      </w:pPr>
    </w:p>
    <w:p w14:paraId="373AE5A7">
      <w:pPr>
        <w:widowControl/>
        <w:jc w:val="left"/>
        <w:rPr>
          <w:rFonts w:hint="eastAsia" w:ascii="宋体" w:hAnsi="宋体" w:eastAsia="宋体" w:cs="Arial"/>
          <w:color w:val="auto"/>
          <w:sz w:val="24"/>
          <w:highlight w:val="none"/>
        </w:rPr>
      </w:pPr>
    </w:p>
    <w:p w14:paraId="69890DFC">
      <w:pPr>
        <w:widowControl/>
        <w:jc w:val="left"/>
        <w:rPr>
          <w:rFonts w:hint="eastAsia" w:ascii="宋体" w:hAnsi="宋体" w:eastAsia="宋体" w:cs="Arial"/>
          <w:color w:val="auto"/>
          <w:sz w:val="24"/>
          <w:highlight w:val="none"/>
        </w:rPr>
      </w:pPr>
    </w:p>
    <w:p w14:paraId="49EA5FFA">
      <w:pPr>
        <w:widowControl/>
        <w:jc w:val="left"/>
        <w:rPr>
          <w:rFonts w:hint="eastAsia" w:ascii="宋体" w:hAnsi="宋体" w:eastAsia="宋体" w:cs="Arial"/>
          <w:color w:val="auto"/>
          <w:sz w:val="24"/>
          <w:highlight w:val="none"/>
        </w:rPr>
      </w:pPr>
    </w:p>
    <w:p w14:paraId="3F70D515">
      <w:pPr>
        <w:widowControl/>
        <w:jc w:val="left"/>
        <w:rPr>
          <w:rFonts w:hint="eastAsia" w:ascii="宋体" w:hAnsi="宋体" w:eastAsia="宋体" w:cs="Arial"/>
          <w:color w:val="auto"/>
          <w:sz w:val="24"/>
          <w:highlight w:val="none"/>
        </w:rPr>
      </w:pPr>
    </w:p>
    <w:p w14:paraId="66AB699B">
      <w:pPr>
        <w:widowControl/>
        <w:jc w:val="left"/>
        <w:rPr>
          <w:rFonts w:hint="eastAsia" w:ascii="宋体" w:hAnsi="宋体" w:eastAsia="宋体" w:cs="Arial"/>
          <w:color w:val="auto"/>
          <w:sz w:val="24"/>
          <w:highlight w:val="none"/>
        </w:rPr>
      </w:pPr>
    </w:p>
    <w:p w14:paraId="58FF5D7D">
      <w:pPr>
        <w:widowControl/>
        <w:jc w:val="left"/>
        <w:rPr>
          <w:rFonts w:hint="eastAsia" w:ascii="宋体" w:hAnsi="宋体" w:eastAsia="宋体" w:cs="Arial"/>
          <w:color w:val="auto"/>
          <w:sz w:val="24"/>
          <w:highlight w:val="none"/>
        </w:rPr>
      </w:pPr>
    </w:p>
    <w:bookmarkEnd w:id="104"/>
    <w:p w14:paraId="57B259C1">
      <w:pPr>
        <w:spacing w:line="360" w:lineRule="auto"/>
        <w:jc w:val="center"/>
        <w:outlineLvl w:val="1"/>
        <w:rPr>
          <w:rFonts w:hint="eastAsia" w:asciiTheme="minorEastAsia" w:hAnsiTheme="minorEastAsia" w:eastAsiaTheme="minorEastAsia"/>
          <w:b/>
          <w:color w:val="auto"/>
          <w:sz w:val="24"/>
          <w:highlight w:val="none"/>
        </w:rPr>
      </w:pPr>
      <w:bookmarkStart w:id="106" w:name="_Toc221656380"/>
      <w:bookmarkStart w:id="107" w:name="_Toc457768012"/>
      <w:bookmarkStart w:id="108" w:name="_Toc530587964"/>
      <w:bookmarkStart w:id="109" w:name="_Toc516969104"/>
      <w:bookmarkStart w:id="110" w:name="_Toc220232401"/>
      <w:bookmarkStart w:id="111" w:name="_Hlt510342906"/>
      <w:bookmarkStart w:id="112" w:name="_Toc6435"/>
      <w:r>
        <w:rPr>
          <w:rFonts w:hint="eastAsia" w:asciiTheme="minorEastAsia" w:hAnsiTheme="minorEastAsia" w:eastAsiaTheme="minorEastAsia"/>
          <w:b/>
          <w:color w:val="auto"/>
          <w:sz w:val="24"/>
          <w:highlight w:val="none"/>
        </w:rPr>
        <w:t>十三、其他相关证明材料</w:t>
      </w:r>
      <w:bookmarkEnd w:id="106"/>
    </w:p>
    <w:p w14:paraId="702A16AE">
      <w:pPr>
        <w:spacing w:line="360" w:lineRule="auto"/>
        <w:jc w:val="left"/>
        <w:outlineLvl w:val="2"/>
        <w:rPr>
          <w:rFonts w:hint="eastAsia" w:asciiTheme="minorEastAsia" w:hAnsiTheme="minorEastAsia" w:eastAsiaTheme="minorEastAsia"/>
          <w:b/>
          <w:color w:val="auto"/>
          <w:sz w:val="24"/>
          <w:szCs w:val="22"/>
          <w:highlight w:val="none"/>
        </w:rPr>
      </w:pPr>
      <w:r>
        <w:rPr>
          <w:rFonts w:hint="eastAsia" w:asciiTheme="minorEastAsia" w:hAnsiTheme="minorEastAsia" w:eastAsiaTheme="minorEastAsia"/>
          <w:b/>
          <w:color w:val="auto"/>
          <w:sz w:val="24"/>
          <w:highlight w:val="none"/>
        </w:rPr>
        <w:t>（一）</w:t>
      </w:r>
      <w:r>
        <w:rPr>
          <w:rFonts w:hint="eastAsia" w:asciiTheme="minorEastAsia" w:hAnsiTheme="minorEastAsia" w:eastAsiaTheme="minorEastAsia"/>
          <w:b/>
          <w:color w:val="auto"/>
          <w:sz w:val="24"/>
          <w:szCs w:val="22"/>
          <w:highlight w:val="none"/>
        </w:rPr>
        <w:t>提供符合投标邀请、采购需求及评标方法和标准规定的相关证明文件</w:t>
      </w:r>
    </w:p>
    <w:p w14:paraId="19B4FBB0">
      <w:pPr>
        <w:spacing w:line="360" w:lineRule="auto"/>
        <w:ind w:firstLine="435"/>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特别提示：</w:t>
      </w:r>
    </w:p>
    <w:p w14:paraId="4F2846C2">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投标人在投标文件制作时可在此栏内上传</w:t>
      </w:r>
      <w:r>
        <w:rPr>
          <w:rFonts w:asciiTheme="minorEastAsia" w:hAnsiTheme="minorEastAsia" w:eastAsiaTheme="minorEastAsia"/>
          <w:color w:val="auto"/>
          <w:sz w:val="24"/>
          <w:highlight w:val="none"/>
        </w:rPr>
        <w:t>招标文件要求上传的证明资料</w:t>
      </w:r>
      <w:r>
        <w:rPr>
          <w:rFonts w:hint="eastAsia" w:asciiTheme="minorEastAsia" w:hAnsiTheme="minorEastAsia" w:eastAsiaTheme="minorEastAsia"/>
          <w:color w:val="auto"/>
          <w:sz w:val="24"/>
          <w:highlight w:val="none"/>
        </w:rPr>
        <w:t>，如营业执照、证书、</w:t>
      </w:r>
      <w:r>
        <w:rPr>
          <w:rFonts w:hint="eastAsia" w:ascii="宋体" w:hAnsi="宋体" w:eastAsia="宋体"/>
          <w:bCs/>
          <w:color w:val="auto"/>
          <w:sz w:val="24"/>
          <w:highlight w:val="none"/>
        </w:rPr>
        <w:t>业绩证明材料</w:t>
      </w:r>
      <w:r>
        <w:rPr>
          <w:rFonts w:asciiTheme="minorEastAsia" w:hAnsiTheme="minorEastAsia" w:eastAsiaTheme="minorEastAsia"/>
          <w:color w:val="auto"/>
          <w:sz w:val="24"/>
          <w:highlight w:val="none"/>
        </w:rPr>
        <w:t>等，应将上述证明材料制作成扫描件上传。</w:t>
      </w:r>
    </w:p>
    <w:p w14:paraId="572F66AD">
      <w:pPr>
        <w:spacing w:line="360" w:lineRule="auto"/>
        <w:outlineLvl w:val="2"/>
        <w:rPr>
          <w:rFonts w:hint="eastAsia" w:asciiTheme="minorEastAsia" w:hAnsiTheme="minorEastAsia" w:eastAsiaTheme="minorEastAsia"/>
          <w:b/>
          <w:color w:val="auto"/>
          <w:sz w:val="24"/>
          <w:szCs w:val="22"/>
          <w:highlight w:val="none"/>
        </w:rPr>
      </w:pPr>
      <w:r>
        <w:rPr>
          <w:rFonts w:hint="eastAsia" w:asciiTheme="minorEastAsia" w:hAnsiTheme="minorEastAsia" w:eastAsiaTheme="minorEastAsia"/>
          <w:b/>
          <w:color w:val="auto"/>
          <w:sz w:val="24"/>
          <w:highlight w:val="none"/>
        </w:rPr>
        <w:t>（二）</w:t>
      </w:r>
      <w:r>
        <w:rPr>
          <w:rFonts w:hint="eastAsia" w:asciiTheme="minorEastAsia" w:hAnsiTheme="minorEastAsia" w:eastAsiaTheme="minorEastAsia"/>
          <w:b/>
          <w:color w:val="auto"/>
          <w:sz w:val="24"/>
          <w:szCs w:val="22"/>
          <w:highlight w:val="none"/>
        </w:rPr>
        <w:t>所</w:t>
      </w:r>
      <w:bookmarkStart w:id="113" w:name="_Hlt510342883"/>
      <w:bookmarkEnd w:id="113"/>
      <w:r>
        <w:rPr>
          <w:rFonts w:hint="eastAsia" w:asciiTheme="minorEastAsia" w:hAnsiTheme="minorEastAsia" w:eastAsiaTheme="minorEastAsia"/>
          <w:b/>
          <w:color w:val="auto"/>
          <w:sz w:val="24"/>
          <w:szCs w:val="22"/>
          <w:highlight w:val="none"/>
        </w:rPr>
        <w:t>供货物组部件、备品、备件清单</w:t>
      </w:r>
      <w:bookmarkEnd w:id="107"/>
      <w:bookmarkEnd w:id="108"/>
      <w:bookmarkEnd w:id="109"/>
      <w:bookmarkEnd w:id="110"/>
    </w:p>
    <w:bookmarkEnd w:id="111"/>
    <w:tbl>
      <w:tblPr>
        <w:tblStyle w:val="25"/>
        <w:tblW w:w="9503"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0"/>
        <w:gridCol w:w="1260"/>
        <w:gridCol w:w="2011"/>
        <w:gridCol w:w="929"/>
        <w:gridCol w:w="1365"/>
        <w:gridCol w:w="1313"/>
        <w:gridCol w:w="1785"/>
      </w:tblGrid>
      <w:tr w14:paraId="2015C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3" w:hRule="atLeast"/>
        </w:trPr>
        <w:tc>
          <w:tcPr>
            <w:tcW w:w="840" w:type="dxa"/>
            <w:vAlign w:val="center"/>
          </w:tcPr>
          <w:p w14:paraId="5082F1C2">
            <w:pPr>
              <w:pStyle w:val="12"/>
              <w:jc w:val="center"/>
              <w:rPr>
                <w:rFonts w:hint="eastAsia" w:hAnsi="宋体" w:cs="宋体"/>
                <w:bCs/>
                <w:color w:val="auto"/>
                <w:sz w:val="24"/>
                <w:highlight w:val="none"/>
              </w:rPr>
            </w:pPr>
            <w:r>
              <w:rPr>
                <w:rFonts w:hint="eastAsia" w:hAnsi="宋体" w:cs="宋体"/>
                <w:bCs/>
                <w:color w:val="auto"/>
                <w:sz w:val="24"/>
                <w:highlight w:val="none"/>
              </w:rPr>
              <w:t>序号</w:t>
            </w:r>
          </w:p>
        </w:tc>
        <w:tc>
          <w:tcPr>
            <w:tcW w:w="1260" w:type="dxa"/>
            <w:vAlign w:val="center"/>
          </w:tcPr>
          <w:p w14:paraId="4A81836E">
            <w:pPr>
              <w:pStyle w:val="12"/>
              <w:jc w:val="center"/>
              <w:rPr>
                <w:rFonts w:hint="eastAsia" w:hAnsi="宋体" w:cs="宋体"/>
                <w:bCs/>
                <w:color w:val="auto"/>
                <w:sz w:val="24"/>
                <w:highlight w:val="none"/>
              </w:rPr>
            </w:pPr>
            <w:r>
              <w:rPr>
                <w:rFonts w:hint="eastAsia" w:hAnsi="宋体" w:cs="宋体"/>
                <w:bCs/>
                <w:color w:val="auto"/>
                <w:sz w:val="24"/>
                <w:highlight w:val="none"/>
              </w:rPr>
              <w:t>名称</w:t>
            </w:r>
          </w:p>
        </w:tc>
        <w:tc>
          <w:tcPr>
            <w:tcW w:w="2011" w:type="dxa"/>
            <w:vAlign w:val="center"/>
          </w:tcPr>
          <w:p w14:paraId="659BF8A3">
            <w:pPr>
              <w:pStyle w:val="12"/>
              <w:jc w:val="center"/>
              <w:rPr>
                <w:rFonts w:hint="eastAsia" w:hAnsi="宋体" w:cs="宋体"/>
                <w:bCs/>
                <w:color w:val="auto"/>
                <w:sz w:val="24"/>
                <w:highlight w:val="none"/>
              </w:rPr>
            </w:pPr>
            <w:r>
              <w:rPr>
                <w:rFonts w:hint="eastAsia" w:hAnsi="宋体" w:cs="宋体"/>
                <w:bCs/>
                <w:color w:val="auto"/>
                <w:sz w:val="24"/>
                <w:highlight w:val="none"/>
              </w:rPr>
              <w:t>规格型号及材质</w:t>
            </w:r>
          </w:p>
        </w:tc>
        <w:tc>
          <w:tcPr>
            <w:tcW w:w="929" w:type="dxa"/>
            <w:vAlign w:val="center"/>
          </w:tcPr>
          <w:p w14:paraId="2B9E71B6">
            <w:pPr>
              <w:pStyle w:val="12"/>
              <w:jc w:val="center"/>
              <w:rPr>
                <w:rFonts w:hint="eastAsia" w:hAnsi="宋体" w:cs="宋体"/>
                <w:bCs/>
                <w:color w:val="auto"/>
                <w:sz w:val="24"/>
                <w:highlight w:val="none"/>
              </w:rPr>
            </w:pPr>
            <w:r>
              <w:rPr>
                <w:rFonts w:hint="eastAsia" w:hAnsi="宋体" w:cs="宋体"/>
                <w:bCs/>
                <w:color w:val="auto"/>
                <w:sz w:val="24"/>
                <w:highlight w:val="none"/>
              </w:rPr>
              <w:t>数量</w:t>
            </w:r>
          </w:p>
        </w:tc>
        <w:tc>
          <w:tcPr>
            <w:tcW w:w="1365" w:type="dxa"/>
            <w:vAlign w:val="center"/>
          </w:tcPr>
          <w:p w14:paraId="787D2D8D">
            <w:pPr>
              <w:pStyle w:val="12"/>
              <w:jc w:val="center"/>
              <w:rPr>
                <w:rFonts w:hint="eastAsia" w:hAnsi="宋体" w:cs="宋体"/>
                <w:bCs/>
                <w:color w:val="auto"/>
                <w:sz w:val="24"/>
                <w:highlight w:val="none"/>
              </w:rPr>
            </w:pPr>
            <w:r>
              <w:rPr>
                <w:rFonts w:hint="eastAsia" w:hAnsi="宋体" w:cs="宋体"/>
                <w:bCs/>
                <w:color w:val="auto"/>
                <w:sz w:val="24"/>
                <w:highlight w:val="none"/>
              </w:rPr>
              <w:t>单价</w:t>
            </w:r>
          </w:p>
        </w:tc>
        <w:tc>
          <w:tcPr>
            <w:tcW w:w="1313" w:type="dxa"/>
            <w:vAlign w:val="center"/>
          </w:tcPr>
          <w:p w14:paraId="754983A3">
            <w:pPr>
              <w:pStyle w:val="12"/>
              <w:jc w:val="center"/>
              <w:rPr>
                <w:rFonts w:hint="eastAsia" w:hAnsi="宋体" w:cs="宋体"/>
                <w:bCs/>
                <w:color w:val="auto"/>
                <w:sz w:val="24"/>
                <w:highlight w:val="none"/>
              </w:rPr>
            </w:pPr>
            <w:r>
              <w:rPr>
                <w:rFonts w:hint="eastAsia" w:hAnsi="宋体" w:cs="宋体"/>
                <w:bCs/>
                <w:color w:val="auto"/>
                <w:sz w:val="24"/>
                <w:highlight w:val="none"/>
              </w:rPr>
              <w:t>小计</w:t>
            </w:r>
          </w:p>
        </w:tc>
        <w:tc>
          <w:tcPr>
            <w:tcW w:w="1785" w:type="dxa"/>
            <w:vAlign w:val="center"/>
          </w:tcPr>
          <w:p w14:paraId="204C0984">
            <w:pPr>
              <w:pStyle w:val="12"/>
              <w:jc w:val="center"/>
              <w:rPr>
                <w:rFonts w:hint="eastAsia" w:hAnsi="宋体" w:cs="宋体"/>
                <w:bCs/>
                <w:color w:val="auto"/>
                <w:sz w:val="24"/>
                <w:highlight w:val="none"/>
              </w:rPr>
            </w:pPr>
            <w:r>
              <w:rPr>
                <w:rFonts w:hint="eastAsia" w:hAnsi="宋体" w:cs="宋体"/>
                <w:bCs/>
                <w:color w:val="auto"/>
                <w:sz w:val="24"/>
                <w:highlight w:val="none"/>
              </w:rPr>
              <w:t>备注</w:t>
            </w:r>
          </w:p>
        </w:tc>
      </w:tr>
      <w:tr w14:paraId="50DA7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840" w:type="dxa"/>
            <w:vAlign w:val="center"/>
          </w:tcPr>
          <w:p w14:paraId="7E530451">
            <w:pPr>
              <w:pStyle w:val="12"/>
              <w:jc w:val="center"/>
              <w:rPr>
                <w:rFonts w:hint="eastAsia" w:hAnsi="宋体" w:cs="宋体"/>
                <w:bCs/>
                <w:color w:val="auto"/>
                <w:sz w:val="24"/>
                <w:highlight w:val="none"/>
              </w:rPr>
            </w:pPr>
            <w:r>
              <w:rPr>
                <w:rFonts w:hint="eastAsia" w:hAnsi="宋体" w:cs="宋体"/>
                <w:bCs/>
                <w:color w:val="auto"/>
                <w:sz w:val="24"/>
                <w:highlight w:val="none"/>
              </w:rPr>
              <w:t>1</w:t>
            </w:r>
          </w:p>
        </w:tc>
        <w:tc>
          <w:tcPr>
            <w:tcW w:w="1260" w:type="dxa"/>
          </w:tcPr>
          <w:p w14:paraId="51D9A15E">
            <w:pPr>
              <w:rPr>
                <w:rFonts w:hint="eastAsia" w:ascii="宋体" w:hAnsi="宋体" w:cs="宋体"/>
                <w:bCs/>
                <w:color w:val="auto"/>
                <w:sz w:val="24"/>
                <w:highlight w:val="none"/>
              </w:rPr>
            </w:pPr>
          </w:p>
        </w:tc>
        <w:tc>
          <w:tcPr>
            <w:tcW w:w="2011" w:type="dxa"/>
          </w:tcPr>
          <w:p w14:paraId="25107C6D">
            <w:pPr>
              <w:rPr>
                <w:rFonts w:hint="eastAsia" w:ascii="宋体" w:hAnsi="宋体" w:cs="宋体"/>
                <w:bCs/>
                <w:color w:val="auto"/>
                <w:sz w:val="24"/>
                <w:highlight w:val="none"/>
              </w:rPr>
            </w:pPr>
          </w:p>
        </w:tc>
        <w:tc>
          <w:tcPr>
            <w:tcW w:w="929" w:type="dxa"/>
          </w:tcPr>
          <w:p w14:paraId="04821CF2">
            <w:pPr>
              <w:rPr>
                <w:rFonts w:hint="eastAsia" w:ascii="宋体" w:hAnsi="宋体" w:cs="宋体"/>
                <w:bCs/>
                <w:color w:val="auto"/>
                <w:sz w:val="24"/>
                <w:highlight w:val="none"/>
              </w:rPr>
            </w:pPr>
          </w:p>
        </w:tc>
        <w:tc>
          <w:tcPr>
            <w:tcW w:w="1365" w:type="dxa"/>
          </w:tcPr>
          <w:p w14:paraId="0E9D1E00">
            <w:pPr>
              <w:pStyle w:val="12"/>
              <w:rPr>
                <w:rFonts w:hint="eastAsia" w:hAnsi="宋体" w:cs="宋体"/>
                <w:bCs/>
                <w:color w:val="auto"/>
                <w:sz w:val="24"/>
                <w:highlight w:val="none"/>
              </w:rPr>
            </w:pPr>
          </w:p>
        </w:tc>
        <w:tc>
          <w:tcPr>
            <w:tcW w:w="1313" w:type="dxa"/>
          </w:tcPr>
          <w:p w14:paraId="3C948E50">
            <w:pPr>
              <w:pStyle w:val="12"/>
              <w:rPr>
                <w:rFonts w:hint="eastAsia" w:hAnsi="宋体" w:cs="宋体"/>
                <w:bCs/>
                <w:color w:val="auto"/>
                <w:sz w:val="24"/>
                <w:highlight w:val="none"/>
              </w:rPr>
            </w:pPr>
          </w:p>
        </w:tc>
        <w:tc>
          <w:tcPr>
            <w:tcW w:w="1785" w:type="dxa"/>
          </w:tcPr>
          <w:p w14:paraId="2A246243">
            <w:pPr>
              <w:pStyle w:val="12"/>
              <w:rPr>
                <w:rFonts w:hint="eastAsia" w:hAnsi="宋体" w:cs="宋体"/>
                <w:bCs/>
                <w:color w:val="auto"/>
                <w:sz w:val="24"/>
                <w:highlight w:val="none"/>
              </w:rPr>
            </w:pPr>
          </w:p>
        </w:tc>
      </w:tr>
      <w:tr w14:paraId="48D23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840" w:type="dxa"/>
            <w:vAlign w:val="center"/>
          </w:tcPr>
          <w:p w14:paraId="691EDCC5">
            <w:pPr>
              <w:pStyle w:val="12"/>
              <w:jc w:val="center"/>
              <w:rPr>
                <w:rFonts w:hint="eastAsia" w:hAnsi="宋体" w:cs="宋体"/>
                <w:bCs/>
                <w:color w:val="auto"/>
                <w:sz w:val="24"/>
                <w:highlight w:val="none"/>
              </w:rPr>
            </w:pPr>
            <w:r>
              <w:rPr>
                <w:rFonts w:hint="eastAsia" w:hAnsi="宋体" w:cs="宋体"/>
                <w:bCs/>
                <w:color w:val="auto"/>
                <w:sz w:val="24"/>
                <w:highlight w:val="none"/>
              </w:rPr>
              <w:t>2</w:t>
            </w:r>
          </w:p>
        </w:tc>
        <w:tc>
          <w:tcPr>
            <w:tcW w:w="1260" w:type="dxa"/>
          </w:tcPr>
          <w:p w14:paraId="60085751">
            <w:pPr>
              <w:rPr>
                <w:rFonts w:hint="eastAsia" w:ascii="宋体" w:hAnsi="宋体" w:cs="宋体"/>
                <w:bCs/>
                <w:color w:val="auto"/>
                <w:sz w:val="24"/>
                <w:highlight w:val="none"/>
              </w:rPr>
            </w:pPr>
          </w:p>
        </w:tc>
        <w:tc>
          <w:tcPr>
            <w:tcW w:w="2011" w:type="dxa"/>
          </w:tcPr>
          <w:p w14:paraId="3B0AB1E4">
            <w:pPr>
              <w:rPr>
                <w:rFonts w:hint="eastAsia" w:ascii="宋体" w:hAnsi="宋体" w:cs="宋体"/>
                <w:bCs/>
                <w:color w:val="auto"/>
                <w:sz w:val="24"/>
                <w:highlight w:val="none"/>
              </w:rPr>
            </w:pPr>
          </w:p>
        </w:tc>
        <w:tc>
          <w:tcPr>
            <w:tcW w:w="929" w:type="dxa"/>
          </w:tcPr>
          <w:p w14:paraId="24574E26">
            <w:pPr>
              <w:rPr>
                <w:rFonts w:hint="eastAsia" w:ascii="宋体" w:hAnsi="宋体" w:cs="宋体"/>
                <w:bCs/>
                <w:color w:val="auto"/>
                <w:sz w:val="24"/>
                <w:highlight w:val="none"/>
              </w:rPr>
            </w:pPr>
          </w:p>
        </w:tc>
        <w:tc>
          <w:tcPr>
            <w:tcW w:w="1365" w:type="dxa"/>
          </w:tcPr>
          <w:p w14:paraId="445DC4DF">
            <w:pPr>
              <w:pStyle w:val="12"/>
              <w:rPr>
                <w:rFonts w:hint="eastAsia" w:hAnsi="宋体" w:cs="宋体"/>
                <w:bCs/>
                <w:color w:val="auto"/>
                <w:sz w:val="24"/>
                <w:highlight w:val="none"/>
              </w:rPr>
            </w:pPr>
          </w:p>
        </w:tc>
        <w:tc>
          <w:tcPr>
            <w:tcW w:w="1313" w:type="dxa"/>
          </w:tcPr>
          <w:p w14:paraId="5C567A46">
            <w:pPr>
              <w:pStyle w:val="12"/>
              <w:rPr>
                <w:rFonts w:hint="eastAsia" w:hAnsi="宋体" w:cs="宋体"/>
                <w:bCs/>
                <w:color w:val="auto"/>
                <w:sz w:val="24"/>
                <w:highlight w:val="none"/>
              </w:rPr>
            </w:pPr>
          </w:p>
        </w:tc>
        <w:tc>
          <w:tcPr>
            <w:tcW w:w="1785" w:type="dxa"/>
          </w:tcPr>
          <w:p w14:paraId="7C9DB268">
            <w:pPr>
              <w:pStyle w:val="12"/>
              <w:rPr>
                <w:rFonts w:hint="eastAsia" w:hAnsi="宋体" w:cs="宋体"/>
                <w:bCs/>
                <w:color w:val="auto"/>
                <w:sz w:val="24"/>
                <w:highlight w:val="none"/>
              </w:rPr>
            </w:pPr>
          </w:p>
        </w:tc>
      </w:tr>
      <w:tr w14:paraId="51116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840" w:type="dxa"/>
            <w:vAlign w:val="center"/>
          </w:tcPr>
          <w:p w14:paraId="449FDBB6">
            <w:pPr>
              <w:pStyle w:val="12"/>
              <w:jc w:val="center"/>
              <w:rPr>
                <w:rFonts w:hint="eastAsia" w:hAnsi="宋体" w:cs="宋体"/>
                <w:bCs/>
                <w:color w:val="auto"/>
                <w:sz w:val="24"/>
                <w:highlight w:val="none"/>
              </w:rPr>
            </w:pPr>
            <w:r>
              <w:rPr>
                <w:rFonts w:hint="eastAsia" w:hAnsi="宋体" w:cs="宋体"/>
                <w:bCs/>
                <w:color w:val="auto"/>
                <w:sz w:val="24"/>
                <w:highlight w:val="none"/>
              </w:rPr>
              <w:t>3</w:t>
            </w:r>
          </w:p>
        </w:tc>
        <w:tc>
          <w:tcPr>
            <w:tcW w:w="1260" w:type="dxa"/>
          </w:tcPr>
          <w:p w14:paraId="43BCAAAF">
            <w:pPr>
              <w:rPr>
                <w:rFonts w:hint="eastAsia" w:ascii="宋体" w:hAnsi="宋体" w:cs="宋体"/>
                <w:bCs/>
                <w:color w:val="auto"/>
                <w:sz w:val="24"/>
                <w:highlight w:val="none"/>
              </w:rPr>
            </w:pPr>
          </w:p>
        </w:tc>
        <w:tc>
          <w:tcPr>
            <w:tcW w:w="2011" w:type="dxa"/>
          </w:tcPr>
          <w:p w14:paraId="37ECE60C">
            <w:pPr>
              <w:rPr>
                <w:rFonts w:hint="eastAsia" w:ascii="宋体" w:hAnsi="宋体" w:cs="宋体"/>
                <w:bCs/>
                <w:color w:val="auto"/>
                <w:sz w:val="24"/>
                <w:highlight w:val="none"/>
              </w:rPr>
            </w:pPr>
          </w:p>
        </w:tc>
        <w:tc>
          <w:tcPr>
            <w:tcW w:w="929" w:type="dxa"/>
          </w:tcPr>
          <w:p w14:paraId="16423879">
            <w:pPr>
              <w:rPr>
                <w:rFonts w:hint="eastAsia" w:ascii="宋体" w:hAnsi="宋体" w:cs="宋体"/>
                <w:bCs/>
                <w:color w:val="auto"/>
                <w:sz w:val="24"/>
                <w:highlight w:val="none"/>
              </w:rPr>
            </w:pPr>
          </w:p>
        </w:tc>
        <w:tc>
          <w:tcPr>
            <w:tcW w:w="1365" w:type="dxa"/>
          </w:tcPr>
          <w:p w14:paraId="057D32D5">
            <w:pPr>
              <w:pStyle w:val="12"/>
              <w:rPr>
                <w:rFonts w:hint="eastAsia" w:hAnsi="宋体" w:cs="宋体"/>
                <w:bCs/>
                <w:color w:val="auto"/>
                <w:sz w:val="24"/>
                <w:highlight w:val="none"/>
              </w:rPr>
            </w:pPr>
          </w:p>
        </w:tc>
        <w:tc>
          <w:tcPr>
            <w:tcW w:w="1313" w:type="dxa"/>
          </w:tcPr>
          <w:p w14:paraId="2F13C3B0">
            <w:pPr>
              <w:pStyle w:val="12"/>
              <w:rPr>
                <w:rFonts w:hint="eastAsia" w:hAnsi="宋体" w:cs="宋体"/>
                <w:bCs/>
                <w:color w:val="auto"/>
                <w:sz w:val="24"/>
                <w:highlight w:val="none"/>
              </w:rPr>
            </w:pPr>
          </w:p>
        </w:tc>
        <w:tc>
          <w:tcPr>
            <w:tcW w:w="1785" w:type="dxa"/>
          </w:tcPr>
          <w:p w14:paraId="2446F428">
            <w:pPr>
              <w:pStyle w:val="12"/>
              <w:rPr>
                <w:rFonts w:hint="eastAsia" w:hAnsi="宋体" w:cs="宋体"/>
                <w:bCs/>
                <w:color w:val="auto"/>
                <w:sz w:val="24"/>
                <w:highlight w:val="none"/>
              </w:rPr>
            </w:pPr>
          </w:p>
        </w:tc>
      </w:tr>
      <w:tr w14:paraId="31999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840" w:type="dxa"/>
            <w:vAlign w:val="center"/>
          </w:tcPr>
          <w:p w14:paraId="236AA1E3">
            <w:pPr>
              <w:pStyle w:val="12"/>
              <w:jc w:val="center"/>
              <w:rPr>
                <w:rFonts w:hint="eastAsia" w:hAnsi="宋体" w:cs="宋体"/>
                <w:bCs/>
                <w:color w:val="auto"/>
                <w:sz w:val="24"/>
                <w:highlight w:val="none"/>
              </w:rPr>
            </w:pPr>
            <w:r>
              <w:rPr>
                <w:rFonts w:hint="eastAsia" w:hAnsi="宋体" w:cs="宋体"/>
                <w:bCs/>
                <w:color w:val="auto"/>
                <w:sz w:val="24"/>
                <w:highlight w:val="none"/>
              </w:rPr>
              <w:t>4</w:t>
            </w:r>
          </w:p>
        </w:tc>
        <w:tc>
          <w:tcPr>
            <w:tcW w:w="1260" w:type="dxa"/>
            <w:tcBorders>
              <w:right w:val="single" w:color="auto" w:sz="4" w:space="0"/>
            </w:tcBorders>
          </w:tcPr>
          <w:p w14:paraId="4CD15A08">
            <w:pPr>
              <w:rPr>
                <w:rFonts w:hint="eastAsia" w:ascii="宋体" w:hAnsi="宋体" w:cs="宋体"/>
                <w:bCs/>
                <w:color w:val="auto"/>
                <w:sz w:val="24"/>
                <w:highlight w:val="none"/>
              </w:rPr>
            </w:pPr>
          </w:p>
        </w:tc>
        <w:tc>
          <w:tcPr>
            <w:tcW w:w="2011" w:type="dxa"/>
            <w:tcBorders>
              <w:right w:val="single" w:color="auto" w:sz="4" w:space="0"/>
            </w:tcBorders>
          </w:tcPr>
          <w:p w14:paraId="1677B336">
            <w:pPr>
              <w:rPr>
                <w:rFonts w:hint="eastAsia" w:ascii="宋体" w:hAnsi="宋体" w:cs="宋体"/>
                <w:bCs/>
                <w:color w:val="auto"/>
                <w:sz w:val="24"/>
                <w:highlight w:val="none"/>
              </w:rPr>
            </w:pPr>
          </w:p>
        </w:tc>
        <w:tc>
          <w:tcPr>
            <w:tcW w:w="929" w:type="dxa"/>
            <w:tcBorders>
              <w:left w:val="single" w:color="auto" w:sz="4" w:space="0"/>
            </w:tcBorders>
          </w:tcPr>
          <w:p w14:paraId="0922CAFA">
            <w:pPr>
              <w:rPr>
                <w:rFonts w:hint="eastAsia" w:ascii="宋体" w:hAnsi="宋体" w:cs="宋体"/>
                <w:bCs/>
                <w:color w:val="auto"/>
                <w:sz w:val="24"/>
                <w:highlight w:val="none"/>
              </w:rPr>
            </w:pPr>
          </w:p>
        </w:tc>
        <w:tc>
          <w:tcPr>
            <w:tcW w:w="1365" w:type="dxa"/>
            <w:tcBorders>
              <w:left w:val="single" w:color="auto" w:sz="4" w:space="0"/>
            </w:tcBorders>
          </w:tcPr>
          <w:p w14:paraId="16D1A0AE">
            <w:pPr>
              <w:pStyle w:val="12"/>
              <w:rPr>
                <w:rFonts w:hint="eastAsia" w:hAnsi="宋体" w:cs="宋体"/>
                <w:bCs/>
                <w:color w:val="auto"/>
                <w:sz w:val="24"/>
                <w:highlight w:val="none"/>
              </w:rPr>
            </w:pPr>
          </w:p>
        </w:tc>
        <w:tc>
          <w:tcPr>
            <w:tcW w:w="1313" w:type="dxa"/>
            <w:tcBorders>
              <w:left w:val="nil"/>
            </w:tcBorders>
          </w:tcPr>
          <w:p w14:paraId="030DEE1C">
            <w:pPr>
              <w:pStyle w:val="12"/>
              <w:rPr>
                <w:rFonts w:hint="eastAsia" w:hAnsi="宋体" w:cs="宋体"/>
                <w:bCs/>
                <w:color w:val="auto"/>
                <w:sz w:val="24"/>
                <w:highlight w:val="none"/>
              </w:rPr>
            </w:pPr>
          </w:p>
        </w:tc>
        <w:tc>
          <w:tcPr>
            <w:tcW w:w="1785" w:type="dxa"/>
          </w:tcPr>
          <w:p w14:paraId="487452CE">
            <w:pPr>
              <w:pStyle w:val="12"/>
              <w:rPr>
                <w:rFonts w:hint="eastAsia" w:hAnsi="宋体" w:cs="宋体"/>
                <w:bCs/>
                <w:color w:val="auto"/>
                <w:sz w:val="24"/>
                <w:highlight w:val="none"/>
              </w:rPr>
            </w:pPr>
          </w:p>
        </w:tc>
      </w:tr>
      <w:tr w14:paraId="137ED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0" w:hRule="atLeast"/>
        </w:trPr>
        <w:tc>
          <w:tcPr>
            <w:tcW w:w="840" w:type="dxa"/>
            <w:vAlign w:val="center"/>
          </w:tcPr>
          <w:p w14:paraId="6B3F581D">
            <w:pPr>
              <w:pStyle w:val="12"/>
              <w:jc w:val="center"/>
              <w:rPr>
                <w:rFonts w:hint="eastAsia" w:hAnsi="宋体" w:cs="宋体"/>
                <w:bCs/>
                <w:color w:val="auto"/>
                <w:sz w:val="24"/>
                <w:highlight w:val="none"/>
              </w:rPr>
            </w:pPr>
            <w:r>
              <w:rPr>
                <w:rFonts w:hint="eastAsia" w:hAnsi="宋体" w:cs="宋体"/>
                <w:bCs/>
                <w:color w:val="auto"/>
                <w:sz w:val="24"/>
                <w:highlight w:val="none"/>
              </w:rPr>
              <w:t>5</w:t>
            </w:r>
          </w:p>
        </w:tc>
        <w:tc>
          <w:tcPr>
            <w:tcW w:w="1260" w:type="dxa"/>
          </w:tcPr>
          <w:p w14:paraId="78243636">
            <w:pPr>
              <w:rPr>
                <w:rFonts w:hint="eastAsia" w:ascii="宋体" w:hAnsi="宋体" w:cs="宋体"/>
                <w:bCs/>
                <w:color w:val="auto"/>
                <w:sz w:val="24"/>
                <w:highlight w:val="none"/>
              </w:rPr>
            </w:pPr>
          </w:p>
        </w:tc>
        <w:tc>
          <w:tcPr>
            <w:tcW w:w="2011" w:type="dxa"/>
          </w:tcPr>
          <w:p w14:paraId="2040A231">
            <w:pPr>
              <w:rPr>
                <w:rFonts w:hint="eastAsia" w:ascii="宋体" w:hAnsi="宋体" w:cs="宋体"/>
                <w:bCs/>
                <w:color w:val="auto"/>
                <w:sz w:val="24"/>
                <w:highlight w:val="none"/>
              </w:rPr>
            </w:pPr>
          </w:p>
        </w:tc>
        <w:tc>
          <w:tcPr>
            <w:tcW w:w="929" w:type="dxa"/>
          </w:tcPr>
          <w:p w14:paraId="6A9AECEB">
            <w:pPr>
              <w:rPr>
                <w:rFonts w:hint="eastAsia" w:ascii="宋体" w:hAnsi="宋体" w:cs="宋体"/>
                <w:bCs/>
                <w:color w:val="auto"/>
                <w:sz w:val="24"/>
                <w:highlight w:val="none"/>
              </w:rPr>
            </w:pPr>
          </w:p>
        </w:tc>
        <w:tc>
          <w:tcPr>
            <w:tcW w:w="1365" w:type="dxa"/>
          </w:tcPr>
          <w:p w14:paraId="547FD946">
            <w:pPr>
              <w:pStyle w:val="12"/>
              <w:rPr>
                <w:rFonts w:hint="eastAsia" w:hAnsi="宋体" w:cs="宋体"/>
                <w:bCs/>
                <w:color w:val="auto"/>
                <w:sz w:val="24"/>
                <w:highlight w:val="none"/>
              </w:rPr>
            </w:pPr>
          </w:p>
        </w:tc>
        <w:tc>
          <w:tcPr>
            <w:tcW w:w="1313" w:type="dxa"/>
          </w:tcPr>
          <w:p w14:paraId="47BF2D78">
            <w:pPr>
              <w:pStyle w:val="12"/>
              <w:rPr>
                <w:rFonts w:hint="eastAsia" w:hAnsi="宋体" w:cs="宋体"/>
                <w:bCs/>
                <w:color w:val="auto"/>
                <w:sz w:val="24"/>
                <w:highlight w:val="none"/>
              </w:rPr>
            </w:pPr>
          </w:p>
        </w:tc>
        <w:tc>
          <w:tcPr>
            <w:tcW w:w="1785" w:type="dxa"/>
          </w:tcPr>
          <w:p w14:paraId="0C4022AC">
            <w:pPr>
              <w:pStyle w:val="12"/>
              <w:rPr>
                <w:rFonts w:hint="eastAsia" w:hAnsi="宋体" w:cs="宋体"/>
                <w:bCs/>
                <w:color w:val="auto"/>
                <w:sz w:val="24"/>
                <w:highlight w:val="none"/>
              </w:rPr>
            </w:pPr>
          </w:p>
        </w:tc>
      </w:tr>
      <w:tr w14:paraId="503F8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840" w:type="dxa"/>
            <w:vAlign w:val="center"/>
          </w:tcPr>
          <w:p w14:paraId="05230432">
            <w:pPr>
              <w:pStyle w:val="12"/>
              <w:jc w:val="center"/>
              <w:rPr>
                <w:rFonts w:hint="eastAsia" w:hAnsi="宋体" w:cs="宋体"/>
                <w:bCs/>
                <w:color w:val="auto"/>
                <w:sz w:val="24"/>
                <w:highlight w:val="none"/>
              </w:rPr>
            </w:pPr>
            <w:r>
              <w:rPr>
                <w:rFonts w:hint="eastAsia" w:hAnsi="宋体" w:cs="宋体"/>
                <w:bCs/>
                <w:color w:val="auto"/>
                <w:sz w:val="24"/>
                <w:highlight w:val="none"/>
              </w:rPr>
              <w:t>6</w:t>
            </w:r>
          </w:p>
        </w:tc>
        <w:tc>
          <w:tcPr>
            <w:tcW w:w="1260" w:type="dxa"/>
          </w:tcPr>
          <w:p w14:paraId="2B64ABEF">
            <w:pPr>
              <w:rPr>
                <w:rFonts w:hint="eastAsia" w:ascii="宋体" w:hAnsi="宋体" w:cs="宋体"/>
                <w:bCs/>
                <w:color w:val="auto"/>
                <w:sz w:val="24"/>
                <w:highlight w:val="none"/>
              </w:rPr>
            </w:pPr>
          </w:p>
        </w:tc>
        <w:tc>
          <w:tcPr>
            <w:tcW w:w="2011" w:type="dxa"/>
          </w:tcPr>
          <w:p w14:paraId="5024CB63">
            <w:pPr>
              <w:rPr>
                <w:rFonts w:hint="eastAsia" w:ascii="宋体" w:hAnsi="宋体" w:cs="宋体"/>
                <w:bCs/>
                <w:color w:val="auto"/>
                <w:sz w:val="24"/>
                <w:highlight w:val="none"/>
              </w:rPr>
            </w:pPr>
          </w:p>
        </w:tc>
        <w:tc>
          <w:tcPr>
            <w:tcW w:w="929" w:type="dxa"/>
          </w:tcPr>
          <w:p w14:paraId="2E9B6D75">
            <w:pPr>
              <w:rPr>
                <w:rFonts w:hint="eastAsia" w:ascii="宋体" w:hAnsi="宋体" w:cs="宋体"/>
                <w:bCs/>
                <w:color w:val="auto"/>
                <w:sz w:val="24"/>
                <w:highlight w:val="none"/>
              </w:rPr>
            </w:pPr>
          </w:p>
        </w:tc>
        <w:tc>
          <w:tcPr>
            <w:tcW w:w="1365" w:type="dxa"/>
          </w:tcPr>
          <w:p w14:paraId="1BC2E8D7">
            <w:pPr>
              <w:pStyle w:val="12"/>
              <w:rPr>
                <w:rFonts w:hint="eastAsia" w:hAnsi="宋体" w:cs="宋体"/>
                <w:bCs/>
                <w:color w:val="auto"/>
                <w:sz w:val="24"/>
                <w:highlight w:val="none"/>
              </w:rPr>
            </w:pPr>
          </w:p>
        </w:tc>
        <w:tc>
          <w:tcPr>
            <w:tcW w:w="1313" w:type="dxa"/>
          </w:tcPr>
          <w:p w14:paraId="1F6B3096">
            <w:pPr>
              <w:pStyle w:val="12"/>
              <w:rPr>
                <w:rFonts w:hint="eastAsia" w:hAnsi="宋体" w:cs="宋体"/>
                <w:bCs/>
                <w:color w:val="auto"/>
                <w:sz w:val="24"/>
                <w:highlight w:val="none"/>
              </w:rPr>
            </w:pPr>
          </w:p>
        </w:tc>
        <w:tc>
          <w:tcPr>
            <w:tcW w:w="1785" w:type="dxa"/>
          </w:tcPr>
          <w:p w14:paraId="6E33B1F9">
            <w:pPr>
              <w:pStyle w:val="12"/>
              <w:rPr>
                <w:rFonts w:hint="eastAsia" w:hAnsi="宋体" w:cs="宋体"/>
                <w:bCs/>
                <w:color w:val="auto"/>
                <w:sz w:val="24"/>
                <w:highlight w:val="none"/>
              </w:rPr>
            </w:pPr>
          </w:p>
        </w:tc>
      </w:tr>
      <w:tr w14:paraId="5013A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840" w:type="dxa"/>
            <w:vAlign w:val="center"/>
          </w:tcPr>
          <w:p w14:paraId="2F741D7A">
            <w:pPr>
              <w:pStyle w:val="12"/>
              <w:jc w:val="center"/>
              <w:rPr>
                <w:rFonts w:hint="eastAsia" w:hAnsi="宋体" w:cs="宋体"/>
                <w:bCs/>
                <w:color w:val="auto"/>
                <w:sz w:val="24"/>
                <w:highlight w:val="none"/>
              </w:rPr>
            </w:pPr>
            <w:r>
              <w:rPr>
                <w:rFonts w:hint="eastAsia" w:hAnsi="宋体" w:cs="宋体"/>
                <w:bCs/>
                <w:color w:val="auto"/>
                <w:sz w:val="24"/>
                <w:highlight w:val="none"/>
              </w:rPr>
              <w:t>7</w:t>
            </w:r>
          </w:p>
        </w:tc>
        <w:tc>
          <w:tcPr>
            <w:tcW w:w="1260" w:type="dxa"/>
          </w:tcPr>
          <w:p w14:paraId="149B9775">
            <w:pPr>
              <w:rPr>
                <w:rFonts w:hint="eastAsia" w:ascii="宋体" w:hAnsi="宋体" w:cs="宋体"/>
                <w:bCs/>
                <w:color w:val="auto"/>
                <w:sz w:val="24"/>
                <w:highlight w:val="none"/>
              </w:rPr>
            </w:pPr>
          </w:p>
        </w:tc>
        <w:tc>
          <w:tcPr>
            <w:tcW w:w="2011" w:type="dxa"/>
          </w:tcPr>
          <w:p w14:paraId="300E1795">
            <w:pPr>
              <w:rPr>
                <w:rFonts w:hint="eastAsia" w:ascii="宋体" w:hAnsi="宋体" w:cs="宋体"/>
                <w:bCs/>
                <w:color w:val="auto"/>
                <w:sz w:val="24"/>
                <w:highlight w:val="none"/>
              </w:rPr>
            </w:pPr>
          </w:p>
        </w:tc>
        <w:tc>
          <w:tcPr>
            <w:tcW w:w="929" w:type="dxa"/>
          </w:tcPr>
          <w:p w14:paraId="27AB6BD3">
            <w:pPr>
              <w:rPr>
                <w:rFonts w:hint="eastAsia" w:ascii="宋体" w:hAnsi="宋体" w:cs="宋体"/>
                <w:bCs/>
                <w:color w:val="auto"/>
                <w:sz w:val="24"/>
                <w:highlight w:val="none"/>
              </w:rPr>
            </w:pPr>
          </w:p>
        </w:tc>
        <w:tc>
          <w:tcPr>
            <w:tcW w:w="1365" w:type="dxa"/>
          </w:tcPr>
          <w:p w14:paraId="76543612">
            <w:pPr>
              <w:pStyle w:val="12"/>
              <w:rPr>
                <w:rFonts w:hint="eastAsia" w:hAnsi="宋体" w:cs="宋体"/>
                <w:bCs/>
                <w:color w:val="auto"/>
                <w:sz w:val="24"/>
                <w:highlight w:val="none"/>
              </w:rPr>
            </w:pPr>
          </w:p>
        </w:tc>
        <w:tc>
          <w:tcPr>
            <w:tcW w:w="1313" w:type="dxa"/>
          </w:tcPr>
          <w:p w14:paraId="17AB4821">
            <w:pPr>
              <w:pStyle w:val="12"/>
              <w:rPr>
                <w:rFonts w:hint="eastAsia" w:hAnsi="宋体" w:cs="宋体"/>
                <w:bCs/>
                <w:color w:val="auto"/>
                <w:sz w:val="24"/>
                <w:highlight w:val="none"/>
              </w:rPr>
            </w:pPr>
          </w:p>
        </w:tc>
        <w:tc>
          <w:tcPr>
            <w:tcW w:w="1785" w:type="dxa"/>
          </w:tcPr>
          <w:p w14:paraId="20FAC992">
            <w:pPr>
              <w:pStyle w:val="12"/>
              <w:rPr>
                <w:rFonts w:hint="eastAsia" w:hAnsi="宋体" w:cs="宋体"/>
                <w:bCs/>
                <w:color w:val="auto"/>
                <w:sz w:val="24"/>
                <w:highlight w:val="none"/>
              </w:rPr>
            </w:pPr>
          </w:p>
        </w:tc>
      </w:tr>
      <w:tr w14:paraId="564AC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840" w:type="dxa"/>
            <w:vAlign w:val="center"/>
          </w:tcPr>
          <w:p w14:paraId="1CEC37FF">
            <w:pPr>
              <w:pStyle w:val="12"/>
              <w:jc w:val="center"/>
              <w:rPr>
                <w:rFonts w:hint="eastAsia" w:hAnsi="宋体" w:cs="宋体"/>
                <w:bCs/>
                <w:color w:val="auto"/>
                <w:sz w:val="24"/>
                <w:highlight w:val="none"/>
              </w:rPr>
            </w:pPr>
            <w:r>
              <w:rPr>
                <w:rFonts w:hint="eastAsia" w:hAnsi="宋体" w:cs="宋体"/>
                <w:bCs/>
                <w:color w:val="auto"/>
                <w:sz w:val="24"/>
                <w:highlight w:val="none"/>
              </w:rPr>
              <w:t>8</w:t>
            </w:r>
          </w:p>
        </w:tc>
        <w:tc>
          <w:tcPr>
            <w:tcW w:w="1260" w:type="dxa"/>
          </w:tcPr>
          <w:p w14:paraId="2D2CEC62">
            <w:pPr>
              <w:rPr>
                <w:rFonts w:hint="eastAsia" w:ascii="宋体" w:hAnsi="宋体" w:cs="宋体"/>
                <w:bCs/>
                <w:color w:val="auto"/>
                <w:sz w:val="24"/>
                <w:highlight w:val="none"/>
              </w:rPr>
            </w:pPr>
          </w:p>
        </w:tc>
        <w:tc>
          <w:tcPr>
            <w:tcW w:w="2011" w:type="dxa"/>
          </w:tcPr>
          <w:p w14:paraId="2F752EAA">
            <w:pPr>
              <w:rPr>
                <w:rFonts w:hint="eastAsia" w:ascii="宋体" w:hAnsi="宋体" w:cs="宋体"/>
                <w:bCs/>
                <w:color w:val="auto"/>
                <w:sz w:val="24"/>
                <w:highlight w:val="none"/>
              </w:rPr>
            </w:pPr>
          </w:p>
        </w:tc>
        <w:tc>
          <w:tcPr>
            <w:tcW w:w="929" w:type="dxa"/>
          </w:tcPr>
          <w:p w14:paraId="3D8BF90A">
            <w:pPr>
              <w:rPr>
                <w:rFonts w:hint="eastAsia" w:ascii="宋体" w:hAnsi="宋体" w:cs="宋体"/>
                <w:bCs/>
                <w:color w:val="auto"/>
                <w:sz w:val="24"/>
                <w:highlight w:val="none"/>
              </w:rPr>
            </w:pPr>
          </w:p>
        </w:tc>
        <w:tc>
          <w:tcPr>
            <w:tcW w:w="1365" w:type="dxa"/>
          </w:tcPr>
          <w:p w14:paraId="3DDDC0D6">
            <w:pPr>
              <w:pStyle w:val="12"/>
              <w:rPr>
                <w:rFonts w:hint="eastAsia" w:hAnsi="宋体" w:cs="宋体"/>
                <w:bCs/>
                <w:color w:val="auto"/>
                <w:sz w:val="24"/>
                <w:highlight w:val="none"/>
              </w:rPr>
            </w:pPr>
          </w:p>
        </w:tc>
        <w:tc>
          <w:tcPr>
            <w:tcW w:w="1313" w:type="dxa"/>
          </w:tcPr>
          <w:p w14:paraId="7F3BA12A">
            <w:pPr>
              <w:pStyle w:val="12"/>
              <w:rPr>
                <w:rFonts w:hint="eastAsia" w:hAnsi="宋体" w:cs="宋体"/>
                <w:bCs/>
                <w:color w:val="auto"/>
                <w:sz w:val="24"/>
                <w:highlight w:val="none"/>
              </w:rPr>
            </w:pPr>
          </w:p>
        </w:tc>
        <w:tc>
          <w:tcPr>
            <w:tcW w:w="1785" w:type="dxa"/>
          </w:tcPr>
          <w:p w14:paraId="2DA2B6C7">
            <w:pPr>
              <w:pStyle w:val="12"/>
              <w:rPr>
                <w:rFonts w:hint="eastAsia" w:hAnsi="宋体" w:cs="宋体"/>
                <w:bCs/>
                <w:color w:val="auto"/>
                <w:sz w:val="24"/>
                <w:highlight w:val="none"/>
              </w:rPr>
            </w:pPr>
          </w:p>
        </w:tc>
      </w:tr>
      <w:tr w14:paraId="62EEA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840" w:type="dxa"/>
            <w:vAlign w:val="center"/>
          </w:tcPr>
          <w:p w14:paraId="0DC65133">
            <w:pPr>
              <w:pStyle w:val="12"/>
              <w:jc w:val="center"/>
              <w:rPr>
                <w:rFonts w:hint="eastAsia" w:hAnsi="宋体" w:cs="宋体"/>
                <w:bCs/>
                <w:color w:val="auto"/>
                <w:sz w:val="24"/>
                <w:highlight w:val="none"/>
              </w:rPr>
            </w:pPr>
            <w:r>
              <w:rPr>
                <w:rFonts w:hint="eastAsia" w:hAnsi="宋体" w:cs="宋体"/>
                <w:bCs/>
                <w:color w:val="auto"/>
                <w:sz w:val="24"/>
                <w:highlight w:val="none"/>
              </w:rPr>
              <w:t>9</w:t>
            </w:r>
          </w:p>
        </w:tc>
        <w:tc>
          <w:tcPr>
            <w:tcW w:w="1260" w:type="dxa"/>
          </w:tcPr>
          <w:p w14:paraId="0C25CFF2">
            <w:pPr>
              <w:rPr>
                <w:rFonts w:hint="eastAsia" w:ascii="宋体" w:hAnsi="宋体" w:cs="宋体"/>
                <w:bCs/>
                <w:color w:val="auto"/>
                <w:sz w:val="24"/>
                <w:highlight w:val="none"/>
              </w:rPr>
            </w:pPr>
          </w:p>
        </w:tc>
        <w:tc>
          <w:tcPr>
            <w:tcW w:w="2011" w:type="dxa"/>
          </w:tcPr>
          <w:p w14:paraId="21A73628">
            <w:pPr>
              <w:rPr>
                <w:rFonts w:hint="eastAsia" w:ascii="宋体" w:hAnsi="宋体" w:cs="宋体"/>
                <w:bCs/>
                <w:color w:val="auto"/>
                <w:sz w:val="24"/>
                <w:highlight w:val="none"/>
              </w:rPr>
            </w:pPr>
          </w:p>
        </w:tc>
        <w:tc>
          <w:tcPr>
            <w:tcW w:w="929" w:type="dxa"/>
          </w:tcPr>
          <w:p w14:paraId="26D55BB3">
            <w:pPr>
              <w:rPr>
                <w:rFonts w:hint="eastAsia" w:ascii="宋体" w:hAnsi="宋体" w:cs="宋体"/>
                <w:bCs/>
                <w:color w:val="auto"/>
                <w:sz w:val="24"/>
                <w:highlight w:val="none"/>
              </w:rPr>
            </w:pPr>
          </w:p>
        </w:tc>
        <w:tc>
          <w:tcPr>
            <w:tcW w:w="1365" w:type="dxa"/>
          </w:tcPr>
          <w:p w14:paraId="622B9A39">
            <w:pPr>
              <w:pStyle w:val="12"/>
              <w:rPr>
                <w:rFonts w:hint="eastAsia" w:hAnsi="宋体" w:cs="宋体"/>
                <w:bCs/>
                <w:color w:val="auto"/>
                <w:sz w:val="24"/>
                <w:highlight w:val="none"/>
              </w:rPr>
            </w:pPr>
          </w:p>
        </w:tc>
        <w:tc>
          <w:tcPr>
            <w:tcW w:w="1313" w:type="dxa"/>
          </w:tcPr>
          <w:p w14:paraId="3DC85F63">
            <w:pPr>
              <w:pStyle w:val="12"/>
              <w:rPr>
                <w:rFonts w:hint="eastAsia" w:hAnsi="宋体" w:cs="宋体"/>
                <w:bCs/>
                <w:color w:val="auto"/>
                <w:sz w:val="24"/>
                <w:highlight w:val="none"/>
              </w:rPr>
            </w:pPr>
          </w:p>
        </w:tc>
        <w:tc>
          <w:tcPr>
            <w:tcW w:w="1785" w:type="dxa"/>
          </w:tcPr>
          <w:p w14:paraId="4B003B45">
            <w:pPr>
              <w:pStyle w:val="12"/>
              <w:rPr>
                <w:rFonts w:hint="eastAsia" w:hAnsi="宋体" w:cs="宋体"/>
                <w:bCs/>
                <w:color w:val="auto"/>
                <w:sz w:val="24"/>
                <w:highlight w:val="none"/>
              </w:rPr>
            </w:pPr>
          </w:p>
        </w:tc>
      </w:tr>
      <w:tr w14:paraId="3D04A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6405" w:type="dxa"/>
            <w:gridSpan w:val="5"/>
            <w:vAlign w:val="center"/>
          </w:tcPr>
          <w:p w14:paraId="79454442">
            <w:pPr>
              <w:pStyle w:val="12"/>
              <w:jc w:val="center"/>
              <w:rPr>
                <w:rFonts w:hint="eastAsia" w:hAnsi="宋体" w:cs="宋体"/>
                <w:bCs/>
                <w:color w:val="auto"/>
                <w:sz w:val="24"/>
                <w:highlight w:val="none"/>
              </w:rPr>
            </w:pPr>
            <w:r>
              <w:rPr>
                <w:rFonts w:hint="eastAsia" w:hAnsi="宋体" w:cs="宋体"/>
                <w:bCs/>
                <w:color w:val="auto"/>
                <w:sz w:val="24"/>
                <w:highlight w:val="none"/>
              </w:rPr>
              <w:t>合计</w:t>
            </w:r>
          </w:p>
        </w:tc>
        <w:tc>
          <w:tcPr>
            <w:tcW w:w="1313" w:type="dxa"/>
            <w:vAlign w:val="center"/>
          </w:tcPr>
          <w:p w14:paraId="71589089">
            <w:pPr>
              <w:pStyle w:val="12"/>
              <w:jc w:val="center"/>
              <w:rPr>
                <w:rFonts w:hint="eastAsia" w:hAnsi="宋体" w:cs="宋体"/>
                <w:bCs/>
                <w:color w:val="auto"/>
                <w:sz w:val="24"/>
                <w:highlight w:val="none"/>
              </w:rPr>
            </w:pPr>
          </w:p>
        </w:tc>
        <w:tc>
          <w:tcPr>
            <w:tcW w:w="1785" w:type="dxa"/>
            <w:vAlign w:val="center"/>
          </w:tcPr>
          <w:p w14:paraId="6DADBBA6">
            <w:pPr>
              <w:pStyle w:val="12"/>
              <w:jc w:val="center"/>
              <w:rPr>
                <w:rFonts w:hint="eastAsia" w:hAnsi="宋体" w:cs="宋体"/>
                <w:bCs/>
                <w:color w:val="auto"/>
                <w:sz w:val="24"/>
                <w:highlight w:val="none"/>
              </w:rPr>
            </w:pPr>
          </w:p>
        </w:tc>
      </w:tr>
    </w:tbl>
    <w:p w14:paraId="779779A6">
      <w:pPr>
        <w:spacing w:line="360" w:lineRule="auto"/>
        <w:rPr>
          <w:rFonts w:hint="eastAsia" w:ascii="宋体" w:hAnsi="宋体" w:eastAsia="宋体"/>
          <w:color w:val="auto"/>
          <w:sz w:val="24"/>
          <w:highlight w:val="none"/>
        </w:rPr>
      </w:pPr>
      <w:r>
        <w:rPr>
          <w:rFonts w:hint="eastAsia" w:ascii="宋体" w:hAnsi="宋体" w:eastAsia="宋体"/>
          <w:color w:val="auto"/>
          <w:sz w:val="24"/>
          <w:highlight w:val="none"/>
        </w:rPr>
        <w:t>投标人电子签章：</w:t>
      </w:r>
    </w:p>
    <w:p w14:paraId="0922D895">
      <w:pPr>
        <w:spacing w:line="360" w:lineRule="auto"/>
        <w:jc w:val="left"/>
        <w:rPr>
          <w:rFonts w:hint="eastAsia" w:asciiTheme="minorEastAsia" w:hAnsiTheme="minorEastAsia" w:eastAsiaTheme="minorEastAsia"/>
          <w:color w:val="auto"/>
          <w:sz w:val="24"/>
          <w:szCs w:val="22"/>
          <w:highlight w:val="none"/>
        </w:rPr>
      </w:pPr>
      <w:r>
        <w:rPr>
          <w:rFonts w:hint="eastAsia" w:asciiTheme="minorEastAsia" w:hAnsiTheme="minorEastAsia" w:eastAsiaTheme="minorEastAsia"/>
          <w:color w:val="auto"/>
          <w:sz w:val="24"/>
          <w:szCs w:val="22"/>
          <w:highlight w:val="none"/>
        </w:rPr>
        <w:t>备注：备品备件系指免费质保期满后一定期限的易损件、耗材等。</w:t>
      </w:r>
    </w:p>
    <w:p w14:paraId="18DB8899">
      <w:pPr>
        <w:spacing w:line="360" w:lineRule="auto"/>
        <w:jc w:val="left"/>
        <w:outlineLvl w:val="2"/>
        <w:rPr>
          <w:rFonts w:hint="eastAsia" w:asciiTheme="minorEastAsia" w:hAnsiTheme="minorEastAsia" w:eastAsiaTheme="minorEastAsia"/>
          <w:b/>
          <w:color w:val="auto"/>
          <w:sz w:val="24"/>
          <w:szCs w:val="22"/>
          <w:highlight w:val="none"/>
        </w:rPr>
      </w:pPr>
      <w:bookmarkStart w:id="114" w:name="_Toc457768018"/>
      <w:bookmarkStart w:id="115" w:name="_Toc530587970"/>
      <w:r>
        <w:rPr>
          <w:rFonts w:hint="eastAsia" w:asciiTheme="minorEastAsia" w:hAnsiTheme="minorEastAsia" w:eastAsiaTheme="minorEastAsia"/>
          <w:b/>
          <w:color w:val="auto"/>
          <w:sz w:val="24"/>
          <w:highlight w:val="none"/>
        </w:rPr>
        <w:t>（三）</w:t>
      </w:r>
      <w:r>
        <w:rPr>
          <w:rFonts w:hint="eastAsia" w:asciiTheme="minorEastAsia" w:hAnsiTheme="minorEastAsia" w:eastAsiaTheme="minorEastAsia"/>
          <w:b/>
          <w:color w:val="auto"/>
          <w:sz w:val="24"/>
          <w:szCs w:val="22"/>
          <w:highlight w:val="none"/>
        </w:rPr>
        <w:t>供货安装（调试）方案</w:t>
      </w:r>
      <w:bookmarkEnd w:id="114"/>
      <w:bookmarkEnd w:id="115"/>
    </w:p>
    <w:p w14:paraId="39141F76">
      <w:pPr>
        <w:spacing w:line="360" w:lineRule="auto"/>
        <w:jc w:val="left"/>
        <w:rPr>
          <w:rFonts w:hint="eastAsia" w:asciiTheme="minorEastAsia" w:hAnsiTheme="minorEastAsia" w:eastAsiaTheme="minorEastAsia"/>
          <w:color w:val="auto"/>
          <w:sz w:val="24"/>
          <w:szCs w:val="22"/>
          <w:highlight w:val="none"/>
        </w:rPr>
      </w:pPr>
      <w:r>
        <w:rPr>
          <w:rFonts w:hint="eastAsia" w:asciiTheme="minorEastAsia" w:hAnsiTheme="minorEastAsia" w:eastAsiaTheme="minorEastAsia"/>
          <w:color w:val="auto"/>
          <w:sz w:val="24"/>
          <w:szCs w:val="22"/>
          <w:highlight w:val="none"/>
        </w:rPr>
        <w:t>(</w:t>
      </w:r>
      <w:r>
        <w:rPr>
          <w:rFonts w:hint="eastAsia" w:ascii="宋体" w:hAnsi="宋体" w:eastAsia="宋体"/>
          <w:bCs/>
          <w:color w:val="auto"/>
          <w:sz w:val="24"/>
          <w:highlight w:val="none"/>
        </w:rPr>
        <w:t>投标人</w:t>
      </w:r>
      <w:r>
        <w:rPr>
          <w:rFonts w:hint="eastAsia" w:asciiTheme="minorEastAsia" w:hAnsiTheme="minorEastAsia" w:eastAsiaTheme="minorEastAsia"/>
          <w:color w:val="auto"/>
          <w:sz w:val="24"/>
          <w:szCs w:val="22"/>
          <w:highlight w:val="none"/>
        </w:rPr>
        <w:t>可自行制作格式)</w:t>
      </w:r>
    </w:p>
    <w:p w14:paraId="5407CF74">
      <w:pPr>
        <w:spacing w:line="360" w:lineRule="auto"/>
        <w:jc w:val="left"/>
        <w:outlineLvl w:val="2"/>
        <w:rPr>
          <w:rFonts w:hint="eastAsia" w:asciiTheme="minorEastAsia" w:hAnsiTheme="minorEastAsia" w:eastAsiaTheme="minorEastAsia"/>
          <w:b/>
          <w:color w:val="auto"/>
          <w:sz w:val="24"/>
          <w:szCs w:val="22"/>
          <w:highlight w:val="none"/>
        </w:rPr>
      </w:pPr>
      <w:bookmarkStart w:id="116" w:name="_Hlt526418111"/>
      <w:bookmarkEnd w:id="116"/>
      <w:bookmarkStart w:id="117" w:name="_Hlt526418103"/>
      <w:bookmarkEnd w:id="117"/>
      <w:bookmarkStart w:id="118" w:name="_Toc220232405"/>
      <w:bookmarkStart w:id="119" w:name="_Toc516969110"/>
      <w:bookmarkStart w:id="120" w:name="_Toc530587971"/>
      <w:bookmarkStart w:id="121" w:name="_Toc457768019"/>
      <w:r>
        <w:rPr>
          <w:rFonts w:hint="eastAsia" w:asciiTheme="minorEastAsia" w:hAnsiTheme="minorEastAsia" w:eastAsiaTheme="minorEastAsia"/>
          <w:b/>
          <w:color w:val="auto"/>
          <w:sz w:val="24"/>
          <w:highlight w:val="none"/>
        </w:rPr>
        <w:t>（四）</w:t>
      </w:r>
      <w:r>
        <w:rPr>
          <w:rFonts w:hint="eastAsia" w:asciiTheme="minorEastAsia" w:hAnsiTheme="minorEastAsia" w:eastAsiaTheme="minorEastAsia"/>
          <w:b/>
          <w:color w:val="auto"/>
          <w:sz w:val="24"/>
          <w:szCs w:val="22"/>
          <w:highlight w:val="none"/>
        </w:rPr>
        <w:t>售后服务与维保方案</w:t>
      </w:r>
      <w:bookmarkEnd w:id="118"/>
      <w:bookmarkEnd w:id="119"/>
      <w:bookmarkEnd w:id="120"/>
      <w:bookmarkEnd w:id="121"/>
    </w:p>
    <w:p w14:paraId="4AAE69F6">
      <w:pPr>
        <w:spacing w:line="360" w:lineRule="auto"/>
        <w:jc w:val="left"/>
        <w:rPr>
          <w:rFonts w:hint="eastAsia" w:asciiTheme="minorEastAsia" w:hAnsiTheme="minorEastAsia" w:eastAsiaTheme="minorEastAsia"/>
          <w:color w:val="auto"/>
          <w:sz w:val="24"/>
          <w:szCs w:val="22"/>
          <w:highlight w:val="none"/>
        </w:rPr>
      </w:pPr>
      <w:r>
        <w:rPr>
          <w:rFonts w:hint="eastAsia" w:asciiTheme="minorEastAsia" w:hAnsiTheme="minorEastAsia" w:eastAsiaTheme="minorEastAsia"/>
          <w:color w:val="auto"/>
          <w:sz w:val="24"/>
          <w:szCs w:val="22"/>
          <w:highlight w:val="none"/>
        </w:rPr>
        <w:t>(</w:t>
      </w:r>
      <w:r>
        <w:rPr>
          <w:rFonts w:hint="eastAsia" w:ascii="宋体" w:hAnsi="宋体" w:eastAsia="宋体"/>
          <w:bCs/>
          <w:color w:val="auto"/>
          <w:sz w:val="24"/>
          <w:highlight w:val="none"/>
        </w:rPr>
        <w:t>投标人</w:t>
      </w:r>
      <w:r>
        <w:rPr>
          <w:rFonts w:hint="eastAsia" w:asciiTheme="minorEastAsia" w:hAnsiTheme="minorEastAsia" w:eastAsiaTheme="minorEastAsia"/>
          <w:color w:val="auto"/>
          <w:sz w:val="24"/>
          <w:szCs w:val="22"/>
          <w:highlight w:val="none"/>
        </w:rPr>
        <w:t>可自行制作格式)</w:t>
      </w:r>
    </w:p>
    <w:p w14:paraId="2023CD86">
      <w:pPr>
        <w:spacing w:line="360" w:lineRule="auto"/>
        <w:jc w:val="left"/>
        <w:outlineLvl w:val="2"/>
        <w:rPr>
          <w:rFonts w:hint="eastAsia" w:asciiTheme="minorEastAsia" w:hAnsiTheme="minorEastAsia" w:eastAsiaTheme="minorEastAsia"/>
          <w:b/>
          <w:color w:val="auto"/>
          <w:sz w:val="24"/>
          <w:szCs w:val="22"/>
          <w:highlight w:val="none"/>
        </w:rPr>
      </w:pPr>
      <w:bookmarkStart w:id="122" w:name="_Hlt526418107"/>
      <w:bookmarkEnd w:id="122"/>
      <w:bookmarkStart w:id="123" w:name="_Hlt509738384"/>
      <w:bookmarkStart w:id="124" w:name="_Toc197934560"/>
      <w:bookmarkStart w:id="125" w:name="_Toc457768020"/>
      <w:bookmarkStart w:id="126" w:name="_Toc530587972"/>
      <w:bookmarkStart w:id="127" w:name="_Toc516969111"/>
      <w:r>
        <w:rPr>
          <w:rFonts w:hint="eastAsia" w:asciiTheme="minorEastAsia" w:hAnsiTheme="minorEastAsia" w:eastAsiaTheme="minorEastAsia"/>
          <w:b/>
          <w:color w:val="auto"/>
          <w:sz w:val="24"/>
          <w:highlight w:val="none"/>
        </w:rPr>
        <w:t>（五）</w:t>
      </w:r>
      <w:r>
        <w:rPr>
          <w:rFonts w:hint="eastAsia" w:asciiTheme="minorEastAsia" w:hAnsiTheme="minorEastAsia" w:eastAsiaTheme="minorEastAsia"/>
          <w:b/>
          <w:color w:val="auto"/>
          <w:sz w:val="24"/>
          <w:szCs w:val="22"/>
          <w:highlight w:val="none"/>
        </w:rPr>
        <w:t>所投货物的技术资料或样本等</w:t>
      </w:r>
      <w:bookmarkEnd w:id="123"/>
      <w:bookmarkEnd w:id="124"/>
      <w:bookmarkEnd w:id="125"/>
      <w:bookmarkEnd w:id="126"/>
      <w:bookmarkEnd w:id="127"/>
      <w:bookmarkStart w:id="128" w:name="_Hlt509650291"/>
      <w:bookmarkEnd w:id="128"/>
    </w:p>
    <w:p w14:paraId="18904847">
      <w:pPr>
        <w:spacing w:line="360" w:lineRule="auto"/>
        <w:jc w:val="left"/>
        <w:rPr>
          <w:rFonts w:hint="eastAsia" w:asciiTheme="minorEastAsia" w:hAnsiTheme="minorEastAsia" w:eastAsiaTheme="minorEastAsia"/>
          <w:color w:val="auto"/>
          <w:sz w:val="24"/>
          <w:szCs w:val="22"/>
          <w:highlight w:val="none"/>
        </w:rPr>
      </w:pPr>
      <w:r>
        <w:rPr>
          <w:rFonts w:hint="eastAsia" w:asciiTheme="minorEastAsia" w:hAnsiTheme="minorEastAsia" w:eastAsiaTheme="minorEastAsia"/>
          <w:color w:val="auto"/>
          <w:sz w:val="24"/>
          <w:szCs w:val="22"/>
          <w:highlight w:val="none"/>
        </w:rPr>
        <w:t>（投标人可自行制作格式）</w:t>
      </w:r>
    </w:p>
    <w:p w14:paraId="723180EA">
      <w:pPr>
        <w:spacing w:line="360" w:lineRule="auto"/>
        <w:jc w:val="left"/>
        <w:outlineLvl w:val="2"/>
        <w:rPr>
          <w:rFonts w:hint="eastAsia" w:asciiTheme="minorEastAsia" w:hAnsiTheme="minorEastAsia" w:eastAsiaTheme="minorEastAsia"/>
          <w:b/>
          <w:color w:val="auto"/>
          <w:sz w:val="28"/>
          <w:highlight w:val="none"/>
        </w:rPr>
      </w:pPr>
      <w:r>
        <w:rPr>
          <w:rFonts w:hint="eastAsia" w:asciiTheme="minorEastAsia" w:hAnsiTheme="minorEastAsia" w:eastAsiaTheme="minorEastAsia"/>
          <w:b/>
          <w:color w:val="auto"/>
          <w:sz w:val="24"/>
          <w:szCs w:val="22"/>
          <w:highlight w:val="none"/>
        </w:rPr>
        <w:t>（六）其他相关证明材料</w:t>
      </w:r>
    </w:p>
    <w:p w14:paraId="702B88E4">
      <w:pPr>
        <w:spacing w:line="360" w:lineRule="auto"/>
        <w:ind w:firstLine="1124" w:firstLineChars="400"/>
        <w:outlineLvl w:val="0"/>
        <w:rPr>
          <w:rFonts w:hint="eastAsia" w:ascii="宋体" w:hAnsi="宋体" w:eastAsia="宋体"/>
          <w:b/>
          <w:bCs/>
          <w:color w:val="auto"/>
          <w:sz w:val="28"/>
          <w:highlight w:val="none"/>
        </w:rPr>
      </w:pPr>
      <w:bookmarkStart w:id="129" w:name="_Toc221656381"/>
      <w:r>
        <w:rPr>
          <w:rFonts w:hint="eastAsia" w:asciiTheme="minorEastAsia" w:hAnsiTheme="minorEastAsia" w:eastAsiaTheme="minorEastAsia"/>
          <w:b/>
          <w:color w:val="auto"/>
          <w:sz w:val="28"/>
          <w:highlight w:val="none"/>
        </w:rPr>
        <w:t>第七章</w:t>
      </w:r>
      <w:r>
        <w:rPr>
          <w:rFonts w:hint="eastAsia" w:ascii="宋体" w:hAnsi="宋体" w:eastAsia="宋体"/>
          <w:b/>
          <w:bCs/>
          <w:color w:val="auto"/>
          <w:sz w:val="28"/>
          <w:highlight w:val="none"/>
        </w:rPr>
        <w:t xml:space="preserve">  政府采购</w:t>
      </w:r>
      <w:r>
        <w:rPr>
          <w:rFonts w:hint="eastAsia" w:asciiTheme="minorEastAsia" w:hAnsiTheme="minorEastAsia" w:eastAsiaTheme="minorEastAsia"/>
          <w:b/>
          <w:color w:val="auto"/>
          <w:sz w:val="28"/>
          <w:highlight w:val="none"/>
        </w:rPr>
        <w:t>供应</w:t>
      </w:r>
      <w:r>
        <w:rPr>
          <w:rFonts w:hint="eastAsia" w:ascii="宋体" w:hAnsi="宋体" w:eastAsia="宋体"/>
          <w:b/>
          <w:bCs/>
          <w:color w:val="auto"/>
          <w:sz w:val="28"/>
          <w:highlight w:val="none"/>
        </w:rPr>
        <w:t>商询问函和质疑函范本</w:t>
      </w:r>
      <w:bookmarkEnd w:id="112"/>
      <w:bookmarkEnd w:id="129"/>
    </w:p>
    <w:p w14:paraId="512F84A5">
      <w:pPr>
        <w:spacing w:line="360" w:lineRule="auto"/>
        <w:jc w:val="center"/>
        <w:outlineLvl w:val="1"/>
        <w:rPr>
          <w:rFonts w:hint="eastAsia" w:ascii="仿宋" w:hAnsi="仿宋" w:eastAsia="仿宋" w:cs="仿宋"/>
          <w:b/>
          <w:bCs/>
          <w:color w:val="auto"/>
          <w:sz w:val="32"/>
          <w:szCs w:val="44"/>
          <w:highlight w:val="none"/>
        </w:rPr>
      </w:pPr>
      <w:bookmarkStart w:id="130" w:name="_Toc27159"/>
      <w:bookmarkStart w:id="131" w:name="_Toc27489"/>
      <w:bookmarkStart w:id="132" w:name="_Toc221656382"/>
      <w:r>
        <w:rPr>
          <w:rFonts w:hint="eastAsia" w:ascii="仿宋" w:hAnsi="仿宋" w:eastAsia="仿宋" w:cs="仿宋"/>
          <w:b/>
          <w:bCs/>
          <w:color w:val="auto"/>
          <w:sz w:val="32"/>
          <w:szCs w:val="44"/>
          <w:highlight w:val="none"/>
        </w:rPr>
        <w:t>询问函范本</w:t>
      </w:r>
      <w:bookmarkEnd w:id="130"/>
      <w:bookmarkEnd w:id="131"/>
      <w:bookmarkEnd w:id="132"/>
    </w:p>
    <w:p w14:paraId="2700847C">
      <w:pPr>
        <w:adjustRightInd w:val="0"/>
        <w:snapToGrid w:val="0"/>
        <w:spacing w:line="360" w:lineRule="auto"/>
        <w:ind w:firstLine="480" w:firstLineChars="200"/>
        <w:jc w:val="center"/>
        <w:rPr>
          <w:rFonts w:hint="eastAsia" w:ascii="仿宋" w:hAnsi="仿宋" w:eastAsia="仿宋" w:cs="仿宋"/>
          <w:b/>
          <w:bCs/>
          <w:color w:val="auto"/>
          <w:sz w:val="32"/>
          <w:szCs w:val="44"/>
          <w:highlight w:val="none"/>
        </w:rPr>
      </w:pPr>
      <w:r>
        <w:rPr>
          <w:rFonts w:hint="eastAsia" w:cs="仿宋" w:asciiTheme="minorEastAsia" w:hAnsiTheme="minorEastAsia" w:eastAsiaTheme="minorEastAsia"/>
          <w:i/>
          <w:iCs/>
          <w:color w:val="auto"/>
          <w:sz w:val="24"/>
          <w:szCs w:val="24"/>
          <w:highlight w:val="none"/>
        </w:rPr>
        <w:t>（如为对采购文件或采购程序的询问或疑问，请按询问函范本或电子交易系统中网上询问格式附件进行提交）</w:t>
      </w:r>
    </w:p>
    <w:p w14:paraId="59E75B04">
      <w:pPr>
        <w:adjustRightInd w:val="0"/>
        <w:snapToGrid w:val="0"/>
        <w:spacing w:line="360" w:lineRule="auto"/>
        <w:rPr>
          <w:rFonts w:hint="eastAsia" w:cs="仿宋" w:asciiTheme="minorEastAsia" w:hAnsiTheme="minorEastAsia" w:eastAsiaTheme="minorEastAsia"/>
          <w:b/>
          <w:bCs/>
          <w:color w:val="auto"/>
          <w:sz w:val="24"/>
          <w:szCs w:val="24"/>
          <w:highlight w:val="none"/>
          <w:u w:val="single"/>
        </w:rPr>
      </w:pPr>
      <w:r>
        <w:rPr>
          <w:rFonts w:hint="eastAsia" w:cs="仿宋" w:asciiTheme="minorEastAsia" w:hAnsiTheme="minorEastAsia" w:eastAsiaTheme="minorEastAsia"/>
          <w:b/>
          <w:bCs/>
          <w:color w:val="auto"/>
          <w:sz w:val="24"/>
          <w:szCs w:val="24"/>
          <w:highlight w:val="none"/>
        </w:rPr>
        <w:t>致：</w:t>
      </w:r>
      <w:r>
        <w:rPr>
          <w:rFonts w:hint="eastAsia" w:cs="仿宋" w:asciiTheme="minorEastAsia" w:hAnsiTheme="minorEastAsia" w:eastAsiaTheme="minorEastAsia"/>
          <w:b/>
          <w:bCs/>
          <w:color w:val="auto"/>
          <w:sz w:val="24"/>
          <w:szCs w:val="24"/>
          <w:highlight w:val="none"/>
          <w:u w:val="single"/>
        </w:rPr>
        <w:t xml:space="preserve"> 采购人全称</w:t>
      </w:r>
    </w:p>
    <w:p w14:paraId="1B9B9DB8">
      <w:pPr>
        <w:adjustRightInd w:val="0"/>
        <w:snapToGrid w:val="0"/>
        <w:spacing w:line="360" w:lineRule="auto"/>
        <w:ind w:firstLine="480" w:firstLineChars="200"/>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我单位拟参与</w:t>
      </w:r>
      <w:r>
        <w:rPr>
          <w:rFonts w:hint="eastAsia" w:cs="仿宋" w:asciiTheme="minorEastAsia" w:hAnsiTheme="minorEastAsia" w:eastAsiaTheme="minorEastAsia"/>
          <w:color w:val="auto"/>
          <w:sz w:val="24"/>
          <w:szCs w:val="24"/>
          <w:highlight w:val="none"/>
          <w:u w:val="single"/>
        </w:rPr>
        <w:t xml:space="preserve">           </w:t>
      </w:r>
      <w:r>
        <w:rPr>
          <w:rFonts w:hint="eastAsia" w:cs="仿宋" w:asciiTheme="minorEastAsia" w:hAnsiTheme="minorEastAsia" w:eastAsiaTheme="minorEastAsia"/>
          <w:color w:val="auto"/>
          <w:sz w:val="24"/>
          <w:szCs w:val="24"/>
          <w:highlight w:val="none"/>
        </w:rPr>
        <w:t>（</w:t>
      </w:r>
      <w:r>
        <w:rPr>
          <w:rFonts w:hint="eastAsia" w:cs="仿宋" w:asciiTheme="minorEastAsia" w:hAnsiTheme="minorEastAsia" w:eastAsiaTheme="minorEastAsia"/>
          <w:i/>
          <w:iCs/>
          <w:color w:val="auto"/>
          <w:sz w:val="24"/>
          <w:szCs w:val="24"/>
          <w:highlight w:val="none"/>
        </w:rPr>
        <w:t>项目名称、编号</w:t>
      </w:r>
      <w:r>
        <w:rPr>
          <w:rFonts w:hint="eastAsia" w:cs="仿宋" w:asciiTheme="minorEastAsia" w:hAnsiTheme="minorEastAsia" w:eastAsiaTheme="minorEastAsia"/>
          <w:color w:val="auto"/>
          <w:sz w:val="24"/>
          <w:szCs w:val="24"/>
          <w:highlight w:val="none"/>
        </w:rPr>
        <w:t>）的采购活动，现有以下内容(或条款)存在疑问(或无法理解)，特提出询问。</w:t>
      </w:r>
    </w:p>
    <w:p w14:paraId="3BFE5996">
      <w:pPr>
        <w:adjustRightInd w:val="0"/>
        <w:snapToGrid w:val="0"/>
        <w:spacing w:line="360" w:lineRule="auto"/>
        <w:ind w:firstLine="480" w:firstLineChars="200"/>
        <w:rPr>
          <w:rFonts w:hint="eastAsia" w:cs="仿宋" w:asciiTheme="minorEastAsia" w:hAnsiTheme="minorEastAsia" w:eastAsiaTheme="minorEastAsia"/>
          <w:color w:val="auto"/>
          <w:sz w:val="24"/>
          <w:szCs w:val="24"/>
          <w:highlight w:val="none"/>
        </w:rPr>
      </w:pPr>
      <w:bookmarkStart w:id="133" w:name="_Toc13899"/>
      <w:r>
        <w:rPr>
          <w:rFonts w:hint="eastAsia" w:cs="仿宋" w:asciiTheme="minorEastAsia" w:hAnsiTheme="minorEastAsia" w:eastAsiaTheme="minorEastAsia"/>
          <w:color w:val="auto"/>
          <w:sz w:val="24"/>
          <w:szCs w:val="24"/>
          <w:highlight w:val="none"/>
        </w:rPr>
        <w:t>一、(事项一)</w:t>
      </w:r>
      <w:bookmarkEnd w:id="133"/>
    </w:p>
    <w:p w14:paraId="27BF9CBF">
      <w:pPr>
        <w:adjustRightInd w:val="0"/>
        <w:snapToGrid w:val="0"/>
        <w:spacing w:line="360" w:lineRule="auto"/>
        <w:ind w:firstLine="480" w:firstLineChars="200"/>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1、(内容或条款)</w:t>
      </w:r>
    </w:p>
    <w:p w14:paraId="7CED0946">
      <w:pPr>
        <w:adjustRightInd w:val="0"/>
        <w:snapToGrid w:val="0"/>
        <w:spacing w:line="360" w:lineRule="auto"/>
        <w:ind w:firstLine="480" w:firstLineChars="200"/>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2、(说明疑问或无法理解原因)</w:t>
      </w:r>
    </w:p>
    <w:p w14:paraId="2C89C3FB">
      <w:pPr>
        <w:adjustRightInd w:val="0"/>
        <w:snapToGrid w:val="0"/>
        <w:spacing w:line="360" w:lineRule="auto"/>
        <w:ind w:firstLine="480" w:firstLineChars="200"/>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3、(建议)</w:t>
      </w:r>
    </w:p>
    <w:p w14:paraId="3C305045">
      <w:pPr>
        <w:adjustRightInd w:val="0"/>
        <w:snapToGrid w:val="0"/>
        <w:spacing w:line="360" w:lineRule="auto"/>
        <w:ind w:firstLine="480" w:firstLineChars="200"/>
        <w:rPr>
          <w:rFonts w:hint="eastAsia" w:cs="仿宋" w:asciiTheme="minorEastAsia" w:hAnsiTheme="minorEastAsia" w:eastAsiaTheme="minorEastAsia"/>
          <w:color w:val="auto"/>
          <w:sz w:val="24"/>
          <w:szCs w:val="24"/>
          <w:highlight w:val="none"/>
        </w:rPr>
      </w:pPr>
      <w:bookmarkStart w:id="134" w:name="_Toc3352"/>
      <w:r>
        <w:rPr>
          <w:rFonts w:hint="eastAsia" w:cs="仿宋" w:asciiTheme="minorEastAsia" w:hAnsiTheme="minorEastAsia" w:eastAsiaTheme="minorEastAsia"/>
          <w:color w:val="auto"/>
          <w:sz w:val="24"/>
          <w:szCs w:val="24"/>
          <w:highlight w:val="none"/>
        </w:rPr>
        <w:t>二、(事项二)</w:t>
      </w:r>
      <w:bookmarkEnd w:id="134"/>
    </w:p>
    <w:p w14:paraId="248449F9">
      <w:pPr>
        <w:adjustRightInd w:val="0"/>
        <w:snapToGrid w:val="0"/>
        <w:spacing w:line="360" w:lineRule="auto"/>
        <w:ind w:firstLine="480" w:firstLineChars="200"/>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w:t>
      </w:r>
    </w:p>
    <w:p w14:paraId="0216A64F">
      <w:pPr>
        <w:adjustRightInd w:val="0"/>
        <w:snapToGrid w:val="0"/>
        <w:spacing w:line="360" w:lineRule="auto"/>
        <w:ind w:firstLine="480" w:firstLineChars="200"/>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 xml:space="preserve">随附相关证明材料如下： </w:t>
      </w:r>
    </w:p>
    <w:p w14:paraId="39F6D7CD">
      <w:pPr>
        <w:spacing w:line="360" w:lineRule="auto"/>
        <w:ind w:firstLine="4228" w:firstLineChars="1762"/>
        <w:rPr>
          <w:rFonts w:hint="eastAsia"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 系 人：</w:t>
      </w:r>
      <w:r>
        <w:rPr>
          <w:rFonts w:hint="eastAsia" w:asciiTheme="minorEastAsia" w:hAnsiTheme="minorEastAsia" w:eastAsiaTheme="minorEastAsia"/>
          <w:color w:val="auto"/>
          <w:sz w:val="24"/>
          <w:highlight w:val="none"/>
          <w:u w:val="single"/>
        </w:rPr>
        <w:t xml:space="preserve">              </w:t>
      </w:r>
    </w:p>
    <w:p w14:paraId="4DC1A8AB">
      <w:pPr>
        <w:spacing w:line="360" w:lineRule="auto"/>
        <w:ind w:firstLine="4228" w:firstLineChars="1762"/>
        <w:rPr>
          <w:rFonts w:hint="eastAsia"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联系电话：</w:t>
      </w:r>
      <w:r>
        <w:rPr>
          <w:rFonts w:hint="eastAsia" w:asciiTheme="minorEastAsia" w:hAnsiTheme="minorEastAsia" w:eastAsiaTheme="minorEastAsia"/>
          <w:color w:val="auto"/>
          <w:sz w:val="24"/>
          <w:highlight w:val="none"/>
          <w:u w:val="single"/>
        </w:rPr>
        <w:t xml:space="preserve">              </w:t>
      </w:r>
    </w:p>
    <w:p w14:paraId="197086C2">
      <w:pPr>
        <w:tabs>
          <w:tab w:val="left" w:pos="630"/>
        </w:tabs>
        <w:spacing w:line="360" w:lineRule="auto"/>
        <w:ind w:firstLine="4228" w:firstLineChars="1762"/>
        <w:rPr>
          <w:rFonts w:hint="eastAsia"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日    期：</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p>
    <w:p w14:paraId="0CEE83C4">
      <w:pPr>
        <w:rPr>
          <w:rFonts w:hint="eastAsia" w:ascii="仿宋" w:hAnsi="仿宋" w:eastAsia="仿宋" w:cs="仿宋"/>
          <w:b/>
          <w:bCs/>
          <w:color w:val="auto"/>
          <w:sz w:val="32"/>
          <w:szCs w:val="44"/>
          <w:highlight w:val="none"/>
        </w:rPr>
      </w:pPr>
      <w:r>
        <w:rPr>
          <w:rFonts w:hint="eastAsia" w:ascii="仿宋" w:hAnsi="仿宋" w:eastAsia="仿宋" w:cs="仿宋"/>
          <w:b/>
          <w:bCs/>
          <w:color w:val="auto"/>
          <w:sz w:val="32"/>
          <w:szCs w:val="44"/>
          <w:highlight w:val="none"/>
        </w:rPr>
        <w:br w:type="page"/>
      </w:r>
    </w:p>
    <w:p w14:paraId="3541AE07">
      <w:pPr>
        <w:jc w:val="center"/>
        <w:outlineLvl w:val="1"/>
        <w:rPr>
          <w:rFonts w:hint="eastAsia" w:ascii="仿宋" w:hAnsi="仿宋" w:eastAsia="仿宋" w:cs="仿宋"/>
          <w:b/>
          <w:bCs/>
          <w:color w:val="auto"/>
          <w:sz w:val="32"/>
          <w:szCs w:val="44"/>
          <w:highlight w:val="none"/>
        </w:rPr>
      </w:pPr>
      <w:bookmarkStart w:id="135" w:name="_Toc3245"/>
      <w:bookmarkStart w:id="136" w:name="_Toc1575"/>
      <w:bookmarkStart w:id="137" w:name="_Toc221656383"/>
      <w:r>
        <w:rPr>
          <w:rFonts w:hint="eastAsia" w:ascii="仿宋" w:hAnsi="仿宋" w:eastAsia="仿宋" w:cs="仿宋"/>
          <w:b/>
          <w:bCs/>
          <w:color w:val="auto"/>
          <w:sz w:val="32"/>
          <w:szCs w:val="44"/>
          <w:highlight w:val="none"/>
        </w:rPr>
        <w:t>质疑函范本</w:t>
      </w:r>
      <w:bookmarkEnd w:id="135"/>
      <w:bookmarkEnd w:id="136"/>
      <w:bookmarkEnd w:id="137"/>
    </w:p>
    <w:p w14:paraId="33BE0262">
      <w:pPr>
        <w:adjustRightInd w:val="0"/>
        <w:snapToGrid w:val="0"/>
        <w:spacing w:before="312" w:beforeLines="100" w:line="360" w:lineRule="auto"/>
        <w:rPr>
          <w:rFonts w:hint="eastAsia" w:cs="仿宋" w:asciiTheme="minorEastAsia" w:hAnsiTheme="minorEastAsia" w:eastAsiaTheme="minorEastAsia"/>
          <w:b/>
          <w:bCs/>
          <w:color w:val="auto"/>
          <w:sz w:val="24"/>
          <w:szCs w:val="24"/>
          <w:highlight w:val="none"/>
        </w:rPr>
      </w:pPr>
      <w:bookmarkStart w:id="138" w:name="_Toc21381"/>
      <w:r>
        <w:rPr>
          <w:rFonts w:hint="eastAsia" w:cs="仿宋" w:asciiTheme="minorEastAsia" w:hAnsiTheme="minorEastAsia" w:eastAsiaTheme="minorEastAsia"/>
          <w:b/>
          <w:bCs/>
          <w:color w:val="auto"/>
          <w:sz w:val="24"/>
          <w:szCs w:val="24"/>
          <w:highlight w:val="none"/>
        </w:rPr>
        <w:t>一、质疑供应商基本信息</w:t>
      </w:r>
      <w:bookmarkEnd w:id="138"/>
    </w:p>
    <w:p w14:paraId="1B6E3A27">
      <w:pPr>
        <w:adjustRightInd w:val="0"/>
        <w:snapToGrid w:val="0"/>
        <w:spacing w:line="360" w:lineRule="auto"/>
        <w:rPr>
          <w:rFonts w:hint="eastAsia"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质疑供应商：</w:t>
      </w:r>
      <w:r>
        <w:rPr>
          <w:rFonts w:hint="eastAsia" w:cs="仿宋" w:asciiTheme="minorEastAsia" w:hAnsiTheme="minorEastAsia" w:eastAsiaTheme="minorEastAsia"/>
          <w:color w:val="auto"/>
          <w:sz w:val="24"/>
          <w:szCs w:val="24"/>
          <w:highlight w:val="none"/>
          <w:u w:val="dotted"/>
        </w:rPr>
        <w:t xml:space="preserve">                                        </w:t>
      </w:r>
    </w:p>
    <w:p w14:paraId="6EB9A7C2">
      <w:pPr>
        <w:adjustRightInd w:val="0"/>
        <w:snapToGrid w:val="0"/>
        <w:spacing w:line="360" w:lineRule="auto"/>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地址：</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邮编：</w:t>
      </w:r>
      <w:r>
        <w:rPr>
          <w:rFonts w:hint="eastAsia" w:cs="仿宋" w:asciiTheme="minorEastAsia" w:hAnsiTheme="minorEastAsia" w:eastAsiaTheme="minorEastAsia"/>
          <w:color w:val="auto"/>
          <w:sz w:val="24"/>
          <w:szCs w:val="24"/>
          <w:highlight w:val="none"/>
          <w:u w:val="dotted"/>
        </w:rPr>
        <w:t xml:space="preserve">                                 </w:t>
      </w:r>
    </w:p>
    <w:p w14:paraId="6365A327">
      <w:pPr>
        <w:adjustRightInd w:val="0"/>
        <w:snapToGrid w:val="0"/>
        <w:spacing w:line="360" w:lineRule="auto"/>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联系人：</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联系电话：</w:t>
      </w:r>
      <w:r>
        <w:rPr>
          <w:rFonts w:hint="eastAsia" w:cs="仿宋" w:asciiTheme="minorEastAsia" w:hAnsiTheme="minorEastAsia" w:eastAsiaTheme="minorEastAsia"/>
          <w:color w:val="auto"/>
          <w:sz w:val="24"/>
          <w:szCs w:val="24"/>
          <w:highlight w:val="none"/>
          <w:u w:val="dotted"/>
        </w:rPr>
        <w:t xml:space="preserve">                              </w:t>
      </w:r>
    </w:p>
    <w:p w14:paraId="4D30FBBD">
      <w:pPr>
        <w:adjustRightInd w:val="0"/>
        <w:snapToGrid w:val="0"/>
        <w:spacing w:line="360" w:lineRule="auto"/>
        <w:rPr>
          <w:rFonts w:hint="eastAsia"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授权代表：</w:t>
      </w:r>
      <w:r>
        <w:rPr>
          <w:rFonts w:hint="eastAsia" w:cs="仿宋" w:asciiTheme="minorEastAsia" w:hAnsiTheme="minorEastAsia" w:eastAsiaTheme="minorEastAsia"/>
          <w:color w:val="auto"/>
          <w:sz w:val="24"/>
          <w:szCs w:val="24"/>
          <w:highlight w:val="none"/>
          <w:u w:val="dotted"/>
        </w:rPr>
        <w:t xml:space="preserve">                                          </w:t>
      </w:r>
    </w:p>
    <w:p w14:paraId="6B366311">
      <w:pPr>
        <w:adjustRightInd w:val="0"/>
        <w:snapToGrid w:val="0"/>
        <w:spacing w:line="360" w:lineRule="auto"/>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联系电话：</w:t>
      </w:r>
      <w:r>
        <w:rPr>
          <w:rFonts w:hint="eastAsia" w:cs="仿宋" w:asciiTheme="minorEastAsia" w:hAnsiTheme="minorEastAsia" w:eastAsiaTheme="minorEastAsia"/>
          <w:color w:val="auto"/>
          <w:sz w:val="24"/>
          <w:szCs w:val="24"/>
          <w:highlight w:val="none"/>
          <w:u w:val="dotted"/>
        </w:rPr>
        <w:t xml:space="preserve">                                           </w:t>
      </w:r>
      <w:r>
        <w:rPr>
          <w:rFonts w:cs="仿宋" w:asciiTheme="minorEastAsia" w:hAnsiTheme="minorEastAsia" w:eastAsiaTheme="minorEastAsia"/>
          <w:color w:val="auto"/>
          <w:sz w:val="24"/>
          <w:szCs w:val="24"/>
          <w:highlight w:val="none"/>
        </w:rPr>
        <w:t xml:space="preserve"> </w:t>
      </w:r>
    </w:p>
    <w:p w14:paraId="2083621D">
      <w:pPr>
        <w:adjustRightInd w:val="0"/>
        <w:snapToGrid w:val="0"/>
        <w:spacing w:line="360" w:lineRule="auto"/>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地址：</w:t>
      </w:r>
      <w:r>
        <w:rPr>
          <w:rFonts w:cs="仿宋" w:asciiTheme="minorEastAsia" w:hAnsiTheme="minorEastAsia" w:eastAsiaTheme="minorEastAsia"/>
          <w:color w:val="auto"/>
          <w:sz w:val="24"/>
          <w:szCs w:val="24"/>
          <w:highlight w:val="none"/>
        </w:rPr>
        <w:t xml:space="preserve"> </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邮编：</w:t>
      </w:r>
      <w:r>
        <w:rPr>
          <w:rFonts w:hint="eastAsia" w:cs="仿宋" w:asciiTheme="minorEastAsia" w:hAnsiTheme="minorEastAsia" w:eastAsiaTheme="minorEastAsia"/>
          <w:color w:val="auto"/>
          <w:sz w:val="24"/>
          <w:szCs w:val="24"/>
          <w:highlight w:val="none"/>
          <w:u w:val="dotted"/>
        </w:rPr>
        <w:t xml:space="preserve">                                   </w:t>
      </w:r>
    </w:p>
    <w:p w14:paraId="6B57AB67">
      <w:pPr>
        <w:adjustRightInd w:val="0"/>
        <w:snapToGrid w:val="0"/>
        <w:spacing w:line="360" w:lineRule="auto"/>
        <w:rPr>
          <w:rFonts w:hint="eastAsia" w:cs="仿宋" w:asciiTheme="minorEastAsia" w:hAnsiTheme="minorEastAsia" w:eastAsiaTheme="minorEastAsia"/>
          <w:b/>
          <w:bCs/>
          <w:color w:val="auto"/>
          <w:sz w:val="24"/>
          <w:szCs w:val="24"/>
          <w:highlight w:val="none"/>
        </w:rPr>
      </w:pPr>
      <w:bookmarkStart w:id="139" w:name="_Toc28415"/>
      <w:r>
        <w:rPr>
          <w:rFonts w:hint="eastAsia" w:cs="仿宋" w:asciiTheme="minorEastAsia" w:hAnsiTheme="minorEastAsia" w:eastAsiaTheme="minorEastAsia"/>
          <w:b/>
          <w:bCs/>
          <w:color w:val="auto"/>
          <w:sz w:val="24"/>
          <w:szCs w:val="24"/>
          <w:highlight w:val="none"/>
        </w:rPr>
        <w:t>二、质疑项目基本情况</w:t>
      </w:r>
      <w:bookmarkEnd w:id="139"/>
    </w:p>
    <w:p w14:paraId="1D578974">
      <w:pPr>
        <w:adjustRightInd w:val="0"/>
        <w:snapToGrid w:val="0"/>
        <w:spacing w:line="360" w:lineRule="auto"/>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质疑项目的名称：</w:t>
      </w:r>
      <w:r>
        <w:rPr>
          <w:rFonts w:hint="eastAsia" w:cs="仿宋" w:asciiTheme="minorEastAsia" w:hAnsiTheme="minorEastAsia" w:eastAsiaTheme="minorEastAsia"/>
          <w:color w:val="auto"/>
          <w:sz w:val="24"/>
          <w:szCs w:val="24"/>
          <w:highlight w:val="none"/>
          <w:u w:val="dotted"/>
        </w:rPr>
        <w:t xml:space="preserve">                                      </w:t>
      </w:r>
    </w:p>
    <w:p w14:paraId="4240E482">
      <w:pPr>
        <w:adjustRightInd w:val="0"/>
        <w:snapToGrid w:val="0"/>
        <w:spacing w:line="360" w:lineRule="auto"/>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质疑项目的编号：</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包号：</w:t>
      </w:r>
      <w:r>
        <w:rPr>
          <w:rFonts w:hint="eastAsia" w:cs="仿宋" w:asciiTheme="minorEastAsia" w:hAnsiTheme="minorEastAsia" w:eastAsiaTheme="minorEastAsia"/>
          <w:color w:val="auto"/>
          <w:sz w:val="24"/>
          <w:szCs w:val="24"/>
          <w:highlight w:val="none"/>
          <w:u w:val="dotted"/>
        </w:rPr>
        <w:t xml:space="preserve">                 </w:t>
      </w:r>
    </w:p>
    <w:p w14:paraId="4E8B2000">
      <w:pPr>
        <w:adjustRightInd w:val="0"/>
        <w:snapToGrid w:val="0"/>
        <w:spacing w:line="360" w:lineRule="auto"/>
        <w:rPr>
          <w:rFonts w:hint="eastAsia"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采购人名称：</w:t>
      </w:r>
      <w:r>
        <w:rPr>
          <w:rFonts w:hint="eastAsia" w:cs="仿宋" w:asciiTheme="minorEastAsia" w:hAnsiTheme="minorEastAsia" w:eastAsiaTheme="minorEastAsia"/>
          <w:color w:val="auto"/>
          <w:sz w:val="24"/>
          <w:szCs w:val="24"/>
          <w:highlight w:val="none"/>
          <w:u w:val="dotted"/>
        </w:rPr>
        <w:t xml:space="preserve">                                         </w:t>
      </w:r>
    </w:p>
    <w:p w14:paraId="4A57727F">
      <w:pPr>
        <w:adjustRightInd w:val="0"/>
        <w:snapToGrid w:val="0"/>
        <w:spacing w:line="360" w:lineRule="auto"/>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采购文件获取日期：</w:t>
      </w:r>
      <w:r>
        <w:rPr>
          <w:rFonts w:hint="eastAsia" w:cs="仿宋" w:asciiTheme="minorEastAsia" w:hAnsiTheme="minorEastAsia" w:eastAsiaTheme="minorEastAsia"/>
          <w:color w:val="auto"/>
          <w:sz w:val="24"/>
          <w:szCs w:val="24"/>
          <w:highlight w:val="none"/>
          <w:u w:val="dotted"/>
        </w:rPr>
        <w:t xml:space="preserve">                                           </w:t>
      </w:r>
    </w:p>
    <w:p w14:paraId="17D04B74">
      <w:pPr>
        <w:adjustRightInd w:val="0"/>
        <w:snapToGrid w:val="0"/>
        <w:spacing w:line="360" w:lineRule="auto"/>
        <w:rPr>
          <w:rFonts w:hint="eastAsia" w:cs="仿宋" w:asciiTheme="minorEastAsia" w:hAnsiTheme="minorEastAsia" w:eastAsiaTheme="minorEastAsia"/>
          <w:b/>
          <w:bCs/>
          <w:color w:val="auto"/>
          <w:sz w:val="24"/>
          <w:szCs w:val="24"/>
          <w:highlight w:val="none"/>
        </w:rPr>
      </w:pPr>
      <w:bookmarkStart w:id="140" w:name="_Toc19014"/>
      <w:r>
        <w:rPr>
          <w:rFonts w:hint="eastAsia" w:cs="仿宋" w:asciiTheme="minorEastAsia" w:hAnsiTheme="minorEastAsia" w:eastAsiaTheme="minorEastAsia"/>
          <w:b/>
          <w:bCs/>
          <w:color w:val="auto"/>
          <w:sz w:val="24"/>
          <w:szCs w:val="24"/>
          <w:highlight w:val="none"/>
        </w:rPr>
        <w:t>三、质疑事项具体内容</w:t>
      </w:r>
      <w:bookmarkEnd w:id="140"/>
    </w:p>
    <w:p w14:paraId="2CEB6866">
      <w:pPr>
        <w:adjustRightInd w:val="0"/>
        <w:snapToGrid w:val="0"/>
        <w:spacing w:line="360" w:lineRule="auto"/>
        <w:rPr>
          <w:rFonts w:hint="eastAsia"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质疑事项1：</w:t>
      </w:r>
      <w:r>
        <w:rPr>
          <w:rFonts w:hint="eastAsia" w:cs="仿宋" w:asciiTheme="minorEastAsia" w:hAnsiTheme="minorEastAsia" w:eastAsiaTheme="minorEastAsia"/>
          <w:color w:val="auto"/>
          <w:sz w:val="24"/>
          <w:szCs w:val="24"/>
          <w:highlight w:val="none"/>
          <w:u w:val="dotted"/>
        </w:rPr>
        <w:t xml:space="preserve">                                         </w:t>
      </w:r>
    </w:p>
    <w:p w14:paraId="5E10E0ED">
      <w:pPr>
        <w:adjustRightInd w:val="0"/>
        <w:snapToGrid w:val="0"/>
        <w:spacing w:line="360" w:lineRule="auto"/>
        <w:rPr>
          <w:rFonts w:hint="eastAsia"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事实依据：</w:t>
      </w:r>
      <w:r>
        <w:rPr>
          <w:rFonts w:hint="eastAsia" w:cs="仿宋" w:asciiTheme="minorEastAsia" w:hAnsiTheme="minorEastAsia" w:eastAsiaTheme="minorEastAsia"/>
          <w:color w:val="auto"/>
          <w:sz w:val="24"/>
          <w:szCs w:val="24"/>
          <w:highlight w:val="none"/>
          <w:u w:val="dotted"/>
        </w:rPr>
        <w:t xml:space="preserve">                                          </w:t>
      </w:r>
    </w:p>
    <w:p w14:paraId="4891D610">
      <w:pPr>
        <w:adjustRightInd w:val="0"/>
        <w:snapToGrid w:val="0"/>
        <w:spacing w:line="360" w:lineRule="auto"/>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u w:val="dotted"/>
        </w:rPr>
        <w:t xml:space="preserve">                                                       </w:t>
      </w:r>
    </w:p>
    <w:p w14:paraId="1DCE0838">
      <w:pPr>
        <w:adjustRightInd w:val="0"/>
        <w:snapToGrid w:val="0"/>
        <w:spacing w:line="360" w:lineRule="auto"/>
        <w:rPr>
          <w:rFonts w:hint="eastAsia"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法律依据：</w:t>
      </w:r>
      <w:r>
        <w:rPr>
          <w:rFonts w:hint="eastAsia" w:cs="仿宋" w:asciiTheme="minorEastAsia" w:hAnsiTheme="minorEastAsia" w:eastAsiaTheme="minorEastAsia"/>
          <w:color w:val="auto"/>
          <w:sz w:val="24"/>
          <w:szCs w:val="24"/>
          <w:highlight w:val="none"/>
          <w:u w:val="dotted"/>
        </w:rPr>
        <w:t xml:space="preserve">                                          </w:t>
      </w:r>
    </w:p>
    <w:p w14:paraId="041E0F1C">
      <w:pPr>
        <w:adjustRightInd w:val="0"/>
        <w:snapToGrid w:val="0"/>
        <w:spacing w:line="360" w:lineRule="auto"/>
        <w:rPr>
          <w:rFonts w:hint="eastAsia"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u w:val="dotted"/>
        </w:rPr>
        <w:t xml:space="preserve">                                                     </w:t>
      </w:r>
    </w:p>
    <w:p w14:paraId="10365295">
      <w:pPr>
        <w:adjustRightInd w:val="0"/>
        <w:snapToGrid w:val="0"/>
        <w:spacing w:line="360" w:lineRule="auto"/>
        <w:rPr>
          <w:rFonts w:hint="eastAsia"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质疑事项2</w:t>
      </w:r>
    </w:p>
    <w:p w14:paraId="0F0AD475">
      <w:pPr>
        <w:adjustRightInd w:val="0"/>
        <w:snapToGrid w:val="0"/>
        <w:spacing w:line="360" w:lineRule="auto"/>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w:t>
      </w:r>
    </w:p>
    <w:p w14:paraId="2D853411">
      <w:pPr>
        <w:adjustRightInd w:val="0"/>
        <w:snapToGrid w:val="0"/>
        <w:spacing w:line="360" w:lineRule="auto"/>
        <w:rPr>
          <w:rFonts w:hint="eastAsia" w:cs="仿宋" w:asciiTheme="minorEastAsia" w:hAnsiTheme="minorEastAsia" w:eastAsiaTheme="minorEastAsia"/>
          <w:b/>
          <w:bCs/>
          <w:color w:val="auto"/>
          <w:sz w:val="24"/>
          <w:szCs w:val="24"/>
          <w:highlight w:val="none"/>
        </w:rPr>
      </w:pPr>
      <w:bookmarkStart w:id="141" w:name="_Toc17919"/>
      <w:r>
        <w:rPr>
          <w:rFonts w:hint="eastAsia" w:cs="仿宋" w:asciiTheme="minorEastAsia" w:hAnsiTheme="minorEastAsia" w:eastAsiaTheme="minorEastAsia"/>
          <w:b/>
          <w:bCs/>
          <w:color w:val="auto"/>
          <w:sz w:val="24"/>
          <w:szCs w:val="24"/>
          <w:highlight w:val="none"/>
        </w:rPr>
        <w:t>四、与质疑事项相关的质疑请求</w:t>
      </w:r>
      <w:bookmarkEnd w:id="141"/>
    </w:p>
    <w:p w14:paraId="6A2B466A">
      <w:pPr>
        <w:adjustRightInd w:val="0"/>
        <w:snapToGrid w:val="0"/>
        <w:spacing w:line="360" w:lineRule="auto"/>
        <w:rPr>
          <w:rFonts w:hint="eastAsia"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请求：</w:t>
      </w:r>
      <w:r>
        <w:rPr>
          <w:rFonts w:hint="eastAsia" w:cs="仿宋" w:asciiTheme="minorEastAsia" w:hAnsiTheme="minorEastAsia" w:eastAsiaTheme="minorEastAsia"/>
          <w:color w:val="auto"/>
          <w:sz w:val="24"/>
          <w:szCs w:val="24"/>
          <w:highlight w:val="none"/>
          <w:u w:val="dotted"/>
        </w:rPr>
        <w:t xml:space="preserve">                                               </w:t>
      </w:r>
    </w:p>
    <w:p w14:paraId="19395356">
      <w:pPr>
        <w:spacing w:line="360" w:lineRule="auto"/>
        <w:rPr>
          <w:rFonts w:hint="eastAsia"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 xml:space="preserve">签字(签章)：                   公章：                      </w:t>
      </w:r>
    </w:p>
    <w:p w14:paraId="473EC343">
      <w:pPr>
        <w:spacing w:line="360" w:lineRule="auto"/>
        <w:rPr>
          <w:rFonts w:hint="eastAsia"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 xml:space="preserve">日期：    </w:t>
      </w:r>
    </w:p>
    <w:p w14:paraId="4DD5C3F2">
      <w:pPr>
        <w:widowControl/>
        <w:jc w:val="left"/>
        <w:rPr>
          <w:rFonts w:hint="eastAsia" w:ascii="仿宋" w:hAnsi="仿宋" w:eastAsia="仿宋" w:cs="仿宋"/>
          <w:color w:val="auto"/>
          <w:sz w:val="32"/>
          <w:szCs w:val="32"/>
          <w:highlight w:val="none"/>
        </w:rPr>
      </w:pPr>
      <w:r>
        <w:rPr>
          <w:rFonts w:ascii="仿宋" w:hAnsi="仿宋" w:eastAsia="仿宋" w:cs="仿宋"/>
          <w:color w:val="auto"/>
          <w:sz w:val="32"/>
          <w:szCs w:val="32"/>
          <w:highlight w:val="none"/>
        </w:rPr>
        <w:br w:type="page"/>
      </w:r>
    </w:p>
    <w:p w14:paraId="1CCAF641">
      <w:pPr>
        <w:outlineLvl w:val="0"/>
        <w:rPr>
          <w:rFonts w:hint="eastAsia" w:asciiTheme="minorEastAsia" w:hAnsiTheme="minorEastAsia" w:eastAsiaTheme="minorEastAsia"/>
          <w:b/>
          <w:color w:val="auto"/>
          <w:sz w:val="28"/>
          <w:szCs w:val="32"/>
          <w:highlight w:val="none"/>
        </w:rPr>
      </w:pPr>
      <w:bookmarkStart w:id="142" w:name="_Toc9754"/>
      <w:bookmarkStart w:id="143" w:name="_Toc26836"/>
      <w:bookmarkStart w:id="144" w:name="_Toc221656384"/>
      <w:r>
        <w:rPr>
          <w:rFonts w:hint="eastAsia" w:asciiTheme="minorEastAsia" w:hAnsiTheme="minorEastAsia" w:eastAsiaTheme="minorEastAsia"/>
          <w:b/>
          <w:color w:val="auto"/>
          <w:sz w:val="28"/>
          <w:szCs w:val="32"/>
          <w:highlight w:val="none"/>
        </w:rPr>
        <w:t>质疑函制作说明：</w:t>
      </w:r>
      <w:bookmarkEnd w:id="142"/>
      <w:bookmarkEnd w:id="143"/>
      <w:bookmarkEnd w:id="144"/>
    </w:p>
    <w:p w14:paraId="3155DF33">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1.供应商提出质疑时，应提交质疑函和必要的证明材料。</w:t>
      </w:r>
    </w:p>
    <w:p w14:paraId="46607B39">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7E640F6C">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3.质疑供应商若对项目的某一分包进行质疑，质疑函中应列明具体分包号。</w:t>
      </w:r>
    </w:p>
    <w:p w14:paraId="5FB09AA4">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4.质疑函的质疑事项应具体、明确，并有必要的事实依据和法律依据。</w:t>
      </w:r>
    </w:p>
    <w:p w14:paraId="152981E3">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5.质疑函的质疑请求应与质疑事项相关。</w:t>
      </w:r>
    </w:p>
    <w:p w14:paraId="7468A20D">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6.质疑供应商为自然人的，质疑函应由本人签字；质疑供应商为法人或者其他组织的，质疑函应由法定代表人、主要负责人，或者其授权代表签字或者盖章，并加盖公章。</w:t>
      </w:r>
    </w:p>
    <w:sectPr>
      <w:footerReference r:id="rId1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TimesNewRomanPSMT">
    <w:altName w:val="Times New Roman"/>
    <w:panose1 w:val="00000000000000000000"/>
    <w:charset w:val="00"/>
    <w:family w:val="roman"/>
    <w:pitch w:val="default"/>
    <w:sig w:usb0="00000000" w:usb1="00000000" w:usb2="00000000" w:usb3="00000000" w:csb0="00000000" w:csb1="00000000"/>
  </w:font>
  <w:font w:name="Sylfaen">
    <w:panose1 w:val="010A0502050306030303"/>
    <w:charset w:val="00"/>
    <w:family w:val="roman"/>
    <w:pitch w:val="default"/>
    <w:sig w:usb0="04000687" w:usb1="00000000" w:usb2="00000000" w:usb3="00000000" w:csb0="2000009F" w:csb1="00000000"/>
  </w:font>
  <w:font w:name="MingLiU">
    <w:altName w:val="PMingLiU-ExtB"/>
    <w:panose1 w:val="02020509000000000000"/>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华文楷体">
    <w:panose1 w:val="02010600040101010101"/>
    <w:charset w:val="86"/>
    <w:family w:val="auto"/>
    <w:pitch w:val="default"/>
    <w:sig w:usb0="00000287" w:usb1="080F0000" w:usb2="00000000" w:usb3="00000000" w:csb0="0004009F" w:csb1="DFD70000"/>
  </w:font>
  <w:font w:name="Tahoma">
    <w:panose1 w:val="020B0604030504040204"/>
    <w:charset w:val="00"/>
    <w:family w:val="swiss"/>
    <w:pitch w:val="default"/>
    <w:sig w:usb0="E1002EFF" w:usb1="C000605B" w:usb2="00000029" w:usb3="00000000" w:csb0="200101FF" w:csb1="2028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AC2CE7">
    <w:pPr>
      <w:pStyle w:val="15"/>
      <w:jc w:val="center"/>
      <w:rPr>
        <w:rFonts w:hint="eastAsia" w:asciiTheme="minorEastAsia" w:hAnsiTheme="minorEastAsia" w:eastAsiaTheme="minorEastAsia"/>
        <w:sz w:val="21"/>
        <w:szCs w:val="2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D18FCA">
    <w:pPr>
      <w:pStyle w:val="15"/>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4C2C57">
    <w:pPr>
      <w:pStyle w:val="15"/>
      <w:rPr>
        <w:rFonts w:hint="eastAsia"/>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0ABC5E">
    <w:pPr>
      <w:pStyle w:val="15"/>
      <w:rPr>
        <w:rFonts w:hint="eastAsia"/>
      </w:rPr>
    </w:pPr>
    <w:r>
      <mc:AlternateContent>
        <mc:Choice Requires="wps">
          <w:drawing>
            <wp:anchor distT="0" distB="0" distL="114300" distR="114300" simplePos="0" relativeHeight="251659264" behindDoc="0" locked="0" layoutInCell="1" allowOverlap="1">
              <wp:simplePos x="0" y="0"/>
              <wp:positionH relativeFrom="margin">
                <wp:posOffset>2205990</wp:posOffset>
              </wp:positionH>
              <wp:positionV relativeFrom="paragraph">
                <wp:posOffset>-2540</wp:posOffset>
              </wp:positionV>
              <wp:extent cx="1135380" cy="1270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135380" cy="127136"/>
                      </a:xfrm>
                      <a:prstGeom prst="rect">
                        <a:avLst/>
                      </a:prstGeom>
                      <a:noFill/>
                      <a:ln w="6350">
                        <a:noFill/>
                      </a:ln>
                      <a:effectLst/>
                    </wps:spPr>
                    <wps:txbx>
                      <w:txbxContent>
                        <w:p w14:paraId="3A1F6831">
                          <w:pPr>
                            <w:pStyle w:val="15"/>
                            <w:rPr>
                              <w:rFonts w:hint="eastAsia" w:ascii="宋体" w:hAnsi="宋体" w:eastAsia="宋体" w:cs="宋体"/>
                            </w:rPr>
                          </w:pPr>
                          <w:r>
                            <w:rPr>
                              <w:rFonts w:hint="eastAsia" w:ascii="宋体" w:hAnsi="宋体" w:eastAsia="宋体" w:cs="宋体"/>
                            </w:rPr>
                            <w:t xml:space="preserve">第 </w:t>
                          </w:r>
                          <w:r>
                            <w:rPr>
                              <w:rFonts w:hint="eastAsia" w:ascii="宋体" w:hAnsi="宋体" w:eastAsia="宋体" w:cs="宋体"/>
                            </w:rPr>
                            <w:fldChar w:fldCharType="begin"/>
                          </w:r>
                          <w:r>
                            <w:rPr>
                              <w:rFonts w:hint="eastAsia" w:ascii="宋体" w:hAnsi="宋体" w:eastAsia="宋体" w:cs="宋体"/>
                            </w:rPr>
                            <w:instrText xml:space="preserve"> PAGE  \* MERGEFORMAT </w:instrText>
                          </w:r>
                          <w:r>
                            <w:rPr>
                              <w:rFonts w:hint="eastAsia" w:ascii="宋体" w:hAnsi="宋体" w:eastAsia="宋体" w:cs="宋体"/>
                            </w:rPr>
                            <w:fldChar w:fldCharType="separate"/>
                          </w:r>
                          <w:r>
                            <w:rPr>
                              <w:rFonts w:ascii="宋体" w:hAnsi="宋体" w:eastAsia="宋体" w:cs="宋体"/>
                            </w:rPr>
                            <w:t>22</w:t>
                          </w:r>
                          <w:r>
                            <w:rPr>
                              <w:rFonts w:hint="eastAsia" w:ascii="宋体" w:hAnsi="宋体" w:eastAsia="宋体" w:cs="宋体"/>
                            </w:rPr>
                            <w:fldChar w:fldCharType="end"/>
                          </w:r>
                          <w:r>
                            <w:rPr>
                              <w:rFonts w:hint="eastAsia" w:ascii="宋体" w:hAnsi="宋体" w:eastAsia="宋体" w:cs="宋体"/>
                            </w:rPr>
                            <w:t xml:space="preserve"> 页 共 </w:t>
                          </w:r>
                          <w:r>
                            <w:fldChar w:fldCharType="begin"/>
                          </w:r>
                          <w:r>
                            <w:instrText xml:space="preserve"> NUMPAGES  \* MERGEFORMAT </w:instrText>
                          </w:r>
                          <w:r>
                            <w:fldChar w:fldCharType="separate"/>
                          </w:r>
                          <w:r>
                            <w:rPr>
                              <w:rFonts w:ascii="宋体" w:hAnsi="宋体" w:eastAsia="宋体" w:cs="宋体"/>
                            </w:rPr>
                            <w:t>71</w:t>
                          </w:r>
                          <w:r>
                            <w:rPr>
                              <w:rFonts w:ascii="宋体" w:hAnsi="宋体" w:eastAsia="宋体" w:cs="宋体"/>
                            </w:rPr>
                            <w:fldChar w:fldCharType="end"/>
                          </w:r>
                          <w:r>
                            <w:rPr>
                              <w:rFonts w:hint="eastAsia" w:ascii="宋体" w:hAnsi="宋体" w:eastAsia="宋体" w:cs="宋体"/>
                            </w:rPr>
                            <w:t xml:space="preserve"> 页</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left:173.7pt;margin-top:-0.2pt;height:10pt;width:89.4pt;mso-position-horizontal-relative:margin;z-index:251659264;mso-width-relative:page;mso-height-relative:page;" filled="f" stroked="f" coordsize="21600,21600" o:gfxdata="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BHEx7c1wAAAAgBAAAPAAAAAAAAAAEAIAAAACIAAABkcnMvZG93bnJl&#10;di54bWxQSwECFAAUAAAACACHTuJAurUHFDcCAABkBAAADgAAAAAAAAABACAAAAAmAQAAZHJzL2Uy&#10;b0RvYy54bWxQSwUGAAAAAAYABgBZAQAAzwUAAAAA&#10;">
              <v:fill on="f" focussize="0,0"/>
              <v:stroke on="f" weight="0.5pt"/>
              <v:imagedata o:title=""/>
              <o:lock v:ext="edit" aspectratio="f"/>
              <v:textbox inset="0mm,0mm,0mm,0mm">
                <w:txbxContent>
                  <w:p w14:paraId="3A1F6831">
                    <w:pPr>
                      <w:pStyle w:val="15"/>
                      <w:rPr>
                        <w:rFonts w:hint="eastAsia" w:ascii="宋体" w:hAnsi="宋体" w:eastAsia="宋体" w:cs="宋体"/>
                      </w:rPr>
                    </w:pPr>
                    <w:r>
                      <w:rPr>
                        <w:rFonts w:hint="eastAsia" w:ascii="宋体" w:hAnsi="宋体" w:eastAsia="宋体" w:cs="宋体"/>
                      </w:rPr>
                      <w:t xml:space="preserve">第 </w:t>
                    </w:r>
                    <w:r>
                      <w:rPr>
                        <w:rFonts w:hint="eastAsia" w:ascii="宋体" w:hAnsi="宋体" w:eastAsia="宋体" w:cs="宋体"/>
                      </w:rPr>
                      <w:fldChar w:fldCharType="begin"/>
                    </w:r>
                    <w:r>
                      <w:rPr>
                        <w:rFonts w:hint="eastAsia" w:ascii="宋体" w:hAnsi="宋体" w:eastAsia="宋体" w:cs="宋体"/>
                      </w:rPr>
                      <w:instrText xml:space="preserve"> PAGE  \* MERGEFORMAT </w:instrText>
                    </w:r>
                    <w:r>
                      <w:rPr>
                        <w:rFonts w:hint="eastAsia" w:ascii="宋体" w:hAnsi="宋体" w:eastAsia="宋体" w:cs="宋体"/>
                      </w:rPr>
                      <w:fldChar w:fldCharType="separate"/>
                    </w:r>
                    <w:r>
                      <w:rPr>
                        <w:rFonts w:ascii="宋体" w:hAnsi="宋体" w:eastAsia="宋体" w:cs="宋体"/>
                      </w:rPr>
                      <w:t>22</w:t>
                    </w:r>
                    <w:r>
                      <w:rPr>
                        <w:rFonts w:hint="eastAsia" w:ascii="宋体" w:hAnsi="宋体" w:eastAsia="宋体" w:cs="宋体"/>
                      </w:rPr>
                      <w:fldChar w:fldCharType="end"/>
                    </w:r>
                    <w:r>
                      <w:rPr>
                        <w:rFonts w:hint="eastAsia" w:ascii="宋体" w:hAnsi="宋体" w:eastAsia="宋体" w:cs="宋体"/>
                      </w:rPr>
                      <w:t xml:space="preserve"> 页 共 </w:t>
                    </w:r>
                    <w:r>
                      <w:fldChar w:fldCharType="begin"/>
                    </w:r>
                    <w:r>
                      <w:instrText xml:space="preserve"> NUMPAGES  \* MERGEFORMAT </w:instrText>
                    </w:r>
                    <w:r>
                      <w:fldChar w:fldCharType="separate"/>
                    </w:r>
                    <w:r>
                      <w:rPr>
                        <w:rFonts w:ascii="宋体" w:hAnsi="宋体" w:eastAsia="宋体" w:cs="宋体"/>
                      </w:rPr>
                      <w:t>71</w:t>
                    </w:r>
                    <w:r>
                      <w:rPr>
                        <w:rFonts w:ascii="宋体" w:hAnsi="宋体" w:eastAsia="宋体" w:cs="宋体"/>
                      </w:rPr>
                      <w:fldChar w:fldCharType="end"/>
                    </w:r>
                    <w:r>
                      <w:rPr>
                        <w:rFonts w:hint="eastAsia" w:ascii="宋体" w:hAnsi="宋体" w:eastAsia="宋体" w:cs="宋体"/>
                      </w:rP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820794">
    <w:pPr>
      <w:spacing w:line="189" w:lineRule="auto"/>
      <w:ind w:left="4430"/>
      <w:rPr>
        <w:rFonts w:ascii="Arial" w:hAnsi="Arial" w:eastAsia="Arial" w:cs="Arial"/>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57FBBF3C">
                          <w:pPr>
                            <w:pStyle w:val="15"/>
                            <w:rPr>
                              <w:rFonts w:hint="eastAsia" w:ascii="宋体" w:hAnsi="宋体" w:eastAsia="宋体" w:cs="宋体"/>
                              <w:sz w:val="21"/>
                              <w:szCs w:val="21"/>
                            </w:rPr>
                          </w:pPr>
                          <w:r>
                            <w:rPr>
                              <w:rFonts w:hint="eastAsia" w:ascii="宋体" w:hAnsi="宋体" w:eastAsia="宋体" w:cs="宋体"/>
                              <w:sz w:val="21"/>
                              <w:szCs w:val="21"/>
                            </w:rPr>
                            <w:t xml:space="preserve">第 </w:t>
                          </w:r>
                          <w:r>
                            <w:rPr>
                              <w:rFonts w:hint="eastAsia" w:ascii="宋体" w:hAnsi="宋体" w:eastAsia="宋体" w:cs="宋体"/>
                            </w:rPr>
                            <w:fldChar w:fldCharType="begin"/>
                          </w:r>
                          <w:r>
                            <w:rPr>
                              <w:rFonts w:hint="eastAsia" w:ascii="宋体" w:hAnsi="宋体" w:eastAsia="宋体" w:cs="宋体"/>
                            </w:rPr>
                            <w:instrText xml:space="preserve"> PAGE  \* MERGEFORMAT </w:instrText>
                          </w:r>
                          <w:r>
                            <w:rPr>
                              <w:rFonts w:hint="eastAsia" w:ascii="宋体" w:hAnsi="宋体" w:eastAsia="宋体" w:cs="宋体"/>
                            </w:rPr>
                            <w:fldChar w:fldCharType="separate"/>
                          </w:r>
                          <w:r>
                            <w:rPr>
                              <w:rFonts w:ascii="宋体" w:hAnsi="宋体" w:eastAsia="宋体" w:cs="宋体"/>
                            </w:rPr>
                            <w:t>32</w:t>
                          </w:r>
                          <w:r>
                            <w:rPr>
                              <w:rFonts w:hint="eastAsia" w:ascii="宋体" w:hAnsi="宋体" w:eastAsia="宋体" w:cs="宋体"/>
                            </w:rPr>
                            <w:fldChar w:fldCharType="end"/>
                          </w:r>
                          <w:r>
                            <w:rPr>
                              <w:rFonts w:hint="eastAsia" w:ascii="宋体" w:hAnsi="宋体" w:eastAsia="宋体" w:cs="宋体"/>
                            </w:rPr>
                            <w:t xml:space="preserve"> 页 共 </w:t>
                          </w:r>
                          <w:r>
                            <w:fldChar w:fldCharType="begin"/>
                          </w:r>
                          <w:r>
                            <w:instrText xml:space="preserve"> NUMPAGES  \* MERGEFORMAT </w:instrText>
                          </w:r>
                          <w:r>
                            <w:fldChar w:fldCharType="separate"/>
                          </w:r>
                          <w:r>
                            <w:rPr>
                              <w:rFonts w:ascii="宋体" w:hAnsi="宋体" w:eastAsia="宋体" w:cs="宋体"/>
                            </w:rPr>
                            <w:t>71</w:t>
                          </w:r>
                          <w:r>
                            <w:rPr>
                              <w:rFonts w:ascii="宋体" w:hAnsi="宋体" w:eastAsia="宋体" w:cs="宋体"/>
                            </w:rPr>
                            <w:fldChar w:fldCharType="end"/>
                          </w:r>
                          <w:r>
                            <w:rPr>
                              <w:rFonts w:hint="eastAsia" w:ascii="宋体" w:hAnsi="宋体" w:eastAsia="宋体" w:cs="宋体"/>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vW1mVTICAABjBAAADgAAAAAAAAABACAAAAAfAQAAZHJzL2Uyb0RvYy54bWxQSwUG&#10;AAAAAAYABgBZAQAAwwUAAAAA&#10;">
              <v:fill on="f" focussize="0,0"/>
              <v:stroke on="f" weight="0.5pt"/>
              <v:imagedata o:title=""/>
              <o:lock v:ext="edit" aspectratio="f"/>
              <v:textbox inset="0mm,0mm,0mm,0mm" style="mso-fit-shape-to-text:t;">
                <w:txbxContent>
                  <w:p w14:paraId="57FBBF3C">
                    <w:pPr>
                      <w:pStyle w:val="15"/>
                      <w:rPr>
                        <w:rFonts w:hint="eastAsia" w:ascii="宋体" w:hAnsi="宋体" w:eastAsia="宋体" w:cs="宋体"/>
                        <w:sz w:val="21"/>
                        <w:szCs w:val="21"/>
                      </w:rPr>
                    </w:pPr>
                    <w:r>
                      <w:rPr>
                        <w:rFonts w:hint="eastAsia" w:ascii="宋体" w:hAnsi="宋体" w:eastAsia="宋体" w:cs="宋体"/>
                        <w:sz w:val="21"/>
                        <w:szCs w:val="21"/>
                      </w:rPr>
                      <w:t xml:space="preserve">第 </w:t>
                    </w:r>
                    <w:r>
                      <w:rPr>
                        <w:rFonts w:hint="eastAsia" w:ascii="宋体" w:hAnsi="宋体" w:eastAsia="宋体" w:cs="宋体"/>
                      </w:rPr>
                      <w:fldChar w:fldCharType="begin"/>
                    </w:r>
                    <w:r>
                      <w:rPr>
                        <w:rFonts w:hint="eastAsia" w:ascii="宋体" w:hAnsi="宋体" w:eastAsia="宋体" w:cs="宋体"/>
                      </w:rPr>
                      <w:instrText xml:space="preserve"> PAGE  \* MERGEFORMAT </w:instrText>
                    </w:r>
                    <w:r>
                      <w:rPr>
                        <w:rFonts w:hint="eastAsia" w:ascii="宋体" w:hAnsi="宋体" w:eastAsia="宋体" w:cs="宋体"/>
                      </w:rPr>
                      <w:fldChar w:fldCharType="separate"/>
                    </w:r>
                    <w:r>
                      <w:rPr>
                        <w:rFonts w:ascii="宋体" w:hAnsi="宋体" w:eastAsia="宋体" w:cs="宋体"/>
                      </w:rPr>
                      <w:t>32</w:t>
                    </w:r>
                    <w:r>
                      <w:rPr>
                        <w:rFonts w:hint="eastAsia" w:ascii="宋体" w:hAnsi="宋体" w:eastAsia="宋体" w:cs="宋体"/>
                      </w:rPr>
                      <w:fldChar w:fldCharType="end"/>
                    </w:r>
                    <w:r>
                      <w:rPr>
                        <w:rFonts w:hint="eastAsia" w:ascii="宋体" w:hAnsi="宋体" w:eastAsia="宋体" w:cs="宋体"/>
                      </w:rPr>
                      <w:t xml:space="preserve"> 页 共 </w:t>
                    </w:r>
                    <w:r>
                      <w:fldChar w:fldCharType="begin"/>
                    </w:r>
                    <w:r>
                      <w:instrText xml:space="preserve"> NUMPAGES  \* MERGEFORMAT </w:instrText>
                    </w:r>
                    <w:r>
                      <w:fldChar w:fldCharType="separate"/>
                    </w:r>
                    <w:r>
                      <w:rPr>
                        <w:rFonts w:ascii="宋体" w:hAnsi="宋体" w:eastAsia="宋体" w:cs="宋体"/>
                      </w:rPr>
                      <w:t>71</w:t>
                    </w:r>
                    <w:r>
                      <w:rPr>
                        <w:rFonts w:ascii="宋体" w:hAnsi="宋体" w:eastAsia="宋体" w:cs="宋体"/>
                      </w:rPr>
                      <w:fldChar w:fldCharType="end"/>
                    </w:r>
                    <w:r>
                      <w:rPr>
                        <w:rFonts w:hint="eastAsia" w:ascii="宋体" w:hAnsi="宋体" w:eastAsia="宋体" w:cs="宋体"/>
                      </w:rPr>
                      <w:t xml:space="preserve"> 页</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2BB16C">
    <w:pPr>
      <w:pStyle w:val="15"/>
      <w:jc w:val="center"/>
      <w:rPr>
        <w:rFonts w:hint="eastAsia"/>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25C0A1D0">
                          <w:pPr>
                            <w:pStyle w:val="15"/>
                            <w:rPr>
                              <w:rFonts w:hint="eastAsia" w:ascii="宋体" w:hAnsi="宋体" w:eastAsia="宋体" w:cs="宋体"/>
                              <w:sz w:val="21"/>
                              <w:szCs w:val="21"/>
                            </w:rPr>
                          </w:pPr>
                          <w:r>
                            <w:rPr>
                              <w:rFonts w:hint="eastAsia" w:ascii="宋体" w:hAnsi="宋体" w:eastAsia="宋体" w:cs="宋体"/>
                              <w:sz w:val="21"/>
                              <w:szCs w:val="21"/>
                            </w:rPr>
                            <w:t xml:space="preserve">第 </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  \* MERGEFORMAT </w:instrText>
                          </w:r>
                          <w:r>
                            <w:rPr>
                              <w:rFonts w:hint="eastAsia" w:ascii="宋体" w:hAnsi="宋体" w:eastAsia="宋体" w:cs="宋体"/>
                              <w:sz w:val="21"/>
                              <w:szCs w:val="21"/>
                            </w:rPr>
                            <w:fldChar w:fldCharType="separate"/>
                          </w:r>
                          <w:r>
                            <w:rPr>
                              <w:rFonts w:ascii="宋体" w:hAnsi="宋体" w:eastAsia="宋体" w:cs="宋体"/>
                              <w:sz w:val="21"/>
                              <w:szCs w:val="21"/>
                            </w:rPr>
                            <w:t>69</w:t>
                          </w:r>
                          <w:r>
                            <w:rPr>
                              <w:rFonts w:hint="eastAsia" w:ascii="宋体" w:hAnsi="宋体" w:eastAsia="宋体" w:cs="宋体"/>
                              <w:sz w:val="21"/>
                              <w:szCs w:val="21"/>
                            </w:rPr>
                            <w:fldChar w:fldCharType="end"/>
                          </w:r>
                          <w:r>
                            <w:rPr>
                              <w:rFonts w:hint="eastAsia" w:ascii="宋体" w:hAnsi="宋体" w:eastAsia="宋体" w:cs="宋体"/>
                              <w:sz w:val="21"/>
                              <w:szCs w:val="21"/>
                            </w:rPr>
                            <w:t xml:space="preserve"> 页 共 </w:t>
                          </w:r>
                          <w:r>
                            <w:fldChar w:fldCharType="begin"/>
                          </w:r>
                          <w:r>
                            <w:instrText xml:space="preserve"> NUMPAGES  \* MERGEFORMAT </w:instrText>
                          </w:r>
                          <w:r>
                            <w:fldChar w:fldCharType="separate"/>
                          </w:r>
                          <w:r>
                            <w:rPr>
                              <w:rFonts w:ascii="宋体" w:hAnsi="宋体" w:eastAsia="宋体" w:cs="宋体"/>
                              <w:sz w:val="21"/>
                              <w:szCs w:val="21"/>
                            </w:rPr>
                            <w:t>71</w:t>
                          </w:r>
                          <w:r>
                            <w:rPr>
                              <w:rFonts w:ascii="宋体" w:hAnsi="宋体" w:eastAsia="宋体" w:cs="宋体"/>
                              <w:sz w:val="21"/>
                              <w:szCs w:val="21"/>
                            </w:rPr>
                            <w:fldChar w:fldCharType="end"/>
                          </w:r>
                          <w:r>
                            <w:rPr>
                              <w:rFonts w:hint="eastAsia" w:ascii="宋体" w:hAnsi="宋体" w:eastAsia="宋体" w:cs="宋体"/>
                              <w:sz w:val="21"/>
                              <w:szCs w:val="21"/>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HPF6wxAgAAY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xzxesMQIAAGMEAAAOAAAAAAAAAAEAIAAAAB8BAABkcnMvZTJvRG9jLnhtbFBLBQYA&#10;AAAABgAGAFkBAADCBQAAAAA=&#10;">
              <v:fill on="f" focussize="0,0"/>
              <v:stroke on="f" weight="0.5pt"/>
              <v:imagedata o:title=""/>
              <o:lock v:ext="edit" aspectratio="f"/>
              <v:textbox inset="0mm,0mm,0mm,0mm" style="mso-fit-shape-to-text:t;">
                <w:txbxContent>
                  <w:p w14:paraId="25C0A1D0">
                    <w:pPr>
                      <w:pStyle w:val="15"/>
                      <w:rPr>
                        <w:rFonts w:hint="eastAsia" w:ascii="宋体" w:hAnsi="宋体" w:eastAsia="宋体" w:cs="宋体"/>
                        <w:sz w:val="21"/>
                        <w:szCs w:val="21"/>
                      </w:rPr>
                    </w:pPr>
                    <w:r>
                      <w:rPr>
                        <w:rFonts w:hint="eastAsia" w:ascii="宋体" w:hAnsi="宋体" w:eastAsia="宋体" w:cs="宋体"/>
                        <w:sz w:val="21"/>
                        <w:szCs w:val="21"/>
                      </w:rPr>
                      <w:t xml:space="preserve">第 </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  \* MERGEFORMAT </w:instrText>
                    </w:r>
                    <w:r>
                      <w:rPr>
                        <w:rFonts w:hint="eastAsia" w:ascii="宋体" w:hAnsi="宋体" w:eastAsia="宋体" w:cs="宋体"/>
                        <w:sz w:val="21"/>
                        <w:szCs w:val="21"/>
                      </w:rPr>
                      <w:fldChar w:fldCharType="separate"/>
                    </w:r>
                    <w:r>
                      <w:rPr>
                        <w:rFonts w:ascii="宋体" w:hAnsi="宋体" w:eastAsia="宋体" w:cs="宋体"/>
                        <w:sz w:val="21"/>
                        <w:szCs w:val="21"/>
                      </w:rPr>
                      <w:t>69</w:t>
                    </w:r>
                    <w:r>
                      <w:rPr>
                        <w:rFonts w:hint="eastAsia" w:ascii="宋体" w:hAnsi="宋体" w:eastAsia="宋体" w:cs="宋体"/>
                        <w:sz w:val="21"/>
                        <w:szCs w:val="21"/>
                      </w:rPr>
                      <w:fldChar w:fldCharType="end"/>
                    </w:r>
                    <w:r>
                      <w:rPr>
                        <w:rFonts w:hint="eastAsia" w:ascii="宋体" w:hAnsi="宋体" w:eastAsia="宋体" w:cs="宋体"/>
                        <w:sz w:val="21"/>
                        <w:szCs w:val="21"/>
                      </w:rPr>
                      <w:t xml:space="preserve"> 页 共 </w:t>
                    </w:r>
                    <w:r>
                      <w:fldChar w:fldCharType="begin"/>
                    </w:r>
                    <w:r>
                      <w:instrText xml:space="preserve"> NUMPAGES  \* MERGEFORMAT </w:instrText>
                    </w:r>
                    <w:r>
                      <w:fldChar w:fldCharType="separate"/>
                    </w:r>
                    <w:r>
                      <w:rPr>
                        <w:rFonts w:ascii="宋体" w:hAnsi="宋体" w:eastAsia="宋体" w:cs="宋体"/>
                        <w:sz w:val="21"/>
                        <w:szCs w:val="21"/>
                      </w:rPr>
                      <w:t>71</w:t>
                    </w:r>
                    <w:r>
                      <w:rPr>
                        <w:rFonts w:ascii="宋体" w:hAnsi="宋体" w:eastAsia="宋体" w:cs="宋体"/>
                        <w:sz w:val="21"/>
                        <w:szCs w:val="21"/>
                      </w:rPr>
                      <w:fldChar w:fldCharType="end"/>
                    </w:r>
                    <w:r>
                      <w:rPr>
                        <w:rFonts w:hint="eastAsia" w:ascii="宋体" w:hAnsi="宋体" w:eastAsia="宋体" w:cs="宋体"/>
                        <w:sz w:val="21"/>
                        <w:szCs w:val="21"/>
                      </w:rP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EC9B2D">
    <w:pPr>
      <w:pStyle w:val="16"/>
      <w:jc w:val="left"/>
      <w:rPr>
        <w:rFonts w:hint="eastAsia" w:asciiTheme="minorEastAsia" w:hAnsiTheme="minorEastAsia" w:eastAsiaTheme="minorEastAsia"/>
      </w:rPr>
    </w:pPr>
    <w:r>
      <w:rPr>
        <w:rFonts w:hint="eastAsia" w:asciiTheme="minorEastAsia" w:hAnsiTheme="minorEastAsia" w:eastAsiaTheme="minorEastAsia"/>
      </w:rPr>
      <w:t>安徽省政府采购项目公开招标文件（货物类）</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9835FA">
    <w:pPr>
      <w:pStyle w:val="16"/>
      <w:rPr>
        <w:rFonts w:hint="eastAsi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BCD6A9">
    <w:pPr>
      <w:pStyle w:val="16"/>
      <w:rPr>
        <w:rFonts w:hint="eastAsia"/>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2234CF">
    <w:pPr>
      <w:pStyle w:val="16"/>
      <w:jc w:val="left"/>
      <w:rPr>
        <w:rFonts w:hint="eastAsia"/>
      </w:rPr>
    </w:pPr>
    <w:r>
      <w:rPr>
        <w:rFonts w:hint="eastAsia" w:asciiTheme="minorEastAsia" w:hAnsiTheme="minorEastAsia" w:eastAsiaTheme="minorEastAsia"/>
      </w:rPr>
      <w:t>安徽省政府采购项目公开招标文件（货物类）</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9B3700">
    <w:pPr>
      <w:pStyle w:val="16"/>
      <w:jc w:val="left"/>
      <w:rPr>
        <w:rFonts w:hint="eastAsia"/>
      </w:rPr>
    </w:pPr>
    <w:r>
      <w:rPr>
        <w:rFonts w:hint="eastAsia" w:asciiTheme="minorEastAsia" w:hAnsiTheme="minorEastAsia" w:eastAsiaTheme="minorEastAsia"/>
      </w:rPr>
      <w:t>安徽省政府采购项目公开招标文件（货物类）</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6BC116"/>
    <w:multiLevelType w:val="singleLevel"/>
    <w:tmpl w:val="BF6BC116"/>
    <w:lvl w:ilvl="0" w:tentative="0">
      <w:start w:val="16"/>
      <w:numFmt w:val="decimal"/>
      <w:suff w:val="space"/>
      <w:lvlText w:val="%1."/>
      <w:lvlJc w:val="left"/>
    </w:lvl>
  </w:abstractNum>
  <w:abstractNum w:abstractNumId="1">
    <w:nsid w:val="CFE7C3F8"/>
    <w:multiLevelType w:val="singleLevel"/>
    <w:tmpl w:val="CFE7C3F8"/>
    <w:lvl w:ilvl="0" w:tentative="0">
      <w:start w:val="1"/>
      <w:numFmt w:val="decimal"/>
      <w:suff w:val="nothing"/>
      <w:lvlText w:val="（%1）"/>
      <w:lvlJc w:val="left"/>
    </w:lvl>
  </w:abstractNum>
  <w:abstractNum w:abstractNumId="2">
    <w:nsid w:val="DDECD3BC"/>
    <w:multiLevelType w:val="singleLevel"/>
    <w:tmpl w:val="DDECD3BC"/>
    <w:lvl w:ilvl="0" w:tentative="0">
      <w:start w:val="6"/>
      <w:numFmt w:val="decimal"/>
      <w:suff w:val="space"/>
      <w:lvlText w:val="%1."/>
      <w:lvlJc w:val="left"/>
    </w:lvl>
  </w:abstractNum>
  <w:abstractNum w:abstractNumId="3">
    <w:nsid w:val="DE759F4B"/>
    <w:multiLevelType w:val="singleLevel"/>
    <w:tmpl w:val="DE759F4B"/>
    <w:lvl w:ilvl="0" w:tentative="0">
      <w:start w:val="2"/>
      <w:numFmt w:val="decimal"/>
      <w:suff w:val="space"/>
      <w:lvlText w:val="%1."/>
      <w:lvlJc w:val="left"/>
    </w:lvl>
  </w:abstractNum>
  <w:abstractNum w:abstractNumId="4">
    <w:nsid w:val="DEABE1DB"/>
    <w:multiLevelType w:val="singleLevel"/>
    <w:tmpl w:val="DEABE1DB"/>
    <w:lvl w:ilvl="0" w:tentative="0">
      <w:start w:val="23"/>
      <w:numFmt w:val="decimal"/>
      <w:suff w:val="space"/>
      <w:lvlText w:val="%1."/>
      <w:lvlJc w:val="left"/>
    </w:lvl>
  </w:abstractNum>
  <w:abstractNum w:abstractNumId="5">
    <w:nsid w:val="FFEFC674"/>
    <w:multiLevelType w:val="singleLevel"/>
    <w:tmpl w:val="FFEFC674"/>
    <w:lvl w:ilvl="0" w:tentative="0">
      <w:start w:val="1"/>
      <w:numFmt w:val="decimal"/>
      <w:suff w:val="nothing"/>
      <w:lvlText w:val="（%1）"/>
      <w:lvlJc w:val="left"/>
    </w:lvl>
  </w:abstractNum>
  <w:abstractNum w:abstractNumId="6">
    <w:nsid w:val="3C48339C"/>
    <w:multiLevelType w:val="singleLevel"/>
    <w:tmpl w:val="3C48339C"/>
    <w:lvl w:ilvl="0" w:tentative="0">
      <w:start w:val="12"/>
      <w:numFmt w:val="decimal"/>
      <w:lvlText w:val="%1."/>
      <w:lvlJc w:val="left"/>
      <w:pPr>
        <w:tabs>
          <w:tab w:val="left" w:pos="312"/>
        </w:tabs>
      </w:pPr>
    </w:lvl>
  </w:abstractNum>
  <w:abstractNum w:abstractNumId="7">
    <w:nsid w:val="7A0F6431"/>
    <w:multiLevelType w:val="singleLevel"/>
    <w:tmpl w:val="7A0F6431"/>
    <w:lvl w:ilvl="0" w:tentative="0">
      <w:start w:val="1"/>
      <w:numFmt w:val="decimal"/>
      <w:suff w:val="space"/>
      <w:lvlText w:val="%1."/>
      <w:lvlJc w:val="left"/>
    </w:lvl>
  </w:abstractNum>
  <w:num w:numId="1">
    <w:abstractNumId w:val="6"/>
  </w:num>
  <w:num w:numId="2">
    <w:abstractNumId w:val="7"/>
  </w:num>
  <w:num w:numId="3">
    <w:abstractNumId w:val="1"/>
  </w:num>
  <w:num w:numId="4">
    <w:abstractNumId w:val="5"/>
  </w:num>
  <w:num w:numId="5">
    <w:abstractNumId w:val="3"/>
  </w:num>
  <w:num w:numId="6">
    <w:abstractNumId w:val="2"/>
  </w:num>
  <w:num w:numId="7">
    <w:abstractNumId w:val="0"/>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7"/>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QxZjBiMzYyODg2NWNhMDgxNjBmODUxNDk1NTI2MTkifQ=="/>
  </w:docVars>
  <w:rsids>
    <w:rsidRoot w:val="00276BA1"/>
    <w:rsid w:val="0000043F"/>
    <w:rsid w:val="00003F56"/>
    <w:rsid w:val="000049DA"/>
    <w:rsid w:val="00004F40"/>
    <w:rsid w:val="000056B7"/>
    <w:rsid w:val="00007161"/>
    <w:rsid w:val="00012A13"/>
    <w:rsid w:val="000131F7"/>
    <w:rsid w:val="00013B32"/>
    <w:rsid w:val="00016B6C"/>
    <w:rsid w:val="00017EC7"/>
    <w:rsid w:val="00020B57"/>
    <w:rsid w:val="00033B5B"/>
    <w:rsid w:val="00037DBE"/>
    <w:rsid w:val="00042139"/>
    <w:rsid w:val="00042B14"/>
    <w:rsid w:val="00044347"/>
    <w:rsid w:val="00044F49"/>
    <w:rsid w:val="000450C3"/>
    <w:rsid w:val="00046AFF"/>
    <w:rsid w:val="00050A3F"/>
    <w:rsid w:val="000530EC"/>
    <w:rsid w:val="000544DE"/>
    <w:rsid w:val="000625C8"/>
    <w:rsid w:val="000648D2"/>
    <w:rsid w:val="00064CEA"/>
    <w:rsid w:val="00070E0E"/>
    <w:rsid w:val="00076DB7"/>
    <w:rsid w:val="00080B7B"/>
    <w:rsid w:val="00080FEB"/>
    <w:rsid w:val="00081B81"/>
    <w:rsid w:val="000868D6"/>
    <w:rsid w:val="000942BA"/>
    <w:rsid w:val="00094D41"/>
    <w:rsid w:val="00095353"/>
    <w:rsid w:val="00097CB9"/>
    <w:rsid w:val="000A0A20"/>
    <w:rsid w:val="000A3569"/>
    <w:rsid w:val="000A4640"/>
    <w:rsid w:val="000A6345"/>
    <w:rsid w:val="000A6693"/>
    <w:rsid w:val="000A6B73"/>
    <w:rsid w:val="000A7D94"/>
    <w:rsid w:val="000B1511"/>
    <w:rsid w:val="000B54F4"/>
    <w:rsid w:val="000C1DB1"/>
    <w:rsid w:val="000D3F37"/>
    <w:rsid w:val="000D431F"/>
    <w:rsid w:val="000E0484"/>
    <w:rsid w:val="000E2208"/>
    <w:rsid w:val="000E3C74"/>
    <w:rsid w:val="000E3F9B"/>
    <w:rsid w:val="000E5056"/>
    <w:rsid w:val="000E6689"/>
    <w:rsid w:val="000F00A3"/>
    <w:rsid w:val="000F014C"/>
    <w:rsid w:val="000F172B"/>
    <w:rsid w:val="000F1C24"/>
    <w:rsid w:val="000F2198"/>
    <w:rsid w:val="000F39B6"/>
    <w:rsid w:val="000F6B7B"/>
    <w:rsid w:val="00100B0F"/>
    <w:rsid w:val="0010187C"/>
    <w:rsid w:val="001037E3"/>
    <w:rsid w:val="00106D6C"/>
    <w:rsid w:val="00110911"/>
    <w:rsid w:val="00116A70"/>
    <w:rsid w:val="0012143A"/>
    <w:rsid w:val="001222C6"/>
    <w:rsid w:val="0012653A"/>
    <w:rsid w:val="00136D80"/>
    <w:rsid w:val="00137C7C"/>
    <w:rsid w:val="00140687"/>
    <w:rsid w:val="00141707"/>
    <w:rsid w:val="00142AAF"/>
    <w:rsid w:val="00146421"/>
    <w:rsid w:val="001467FF"/>
    <w:rsid w:val="001479CF"/>
    <w:rsid w:val="00150567"/>
    <w:rsid w:val="00155F64"/>
    <w:rsid w:val="00157148"/>
    <w:rsid w:val="00157856"/>
    <w:rsid w:val="00160729"/>
    <w:rsid w:val="00160D83"/>
    <w:rsid w:val="001644D1"/>
    <w:rsid w:val="00164D27"/>
    <w:rsid w:val="00166ED8"/>
    <w:rsid w:val="001714C9"/>
    <w:rsid w:val="001754E2"/>
    <w:rsid w:val="00177069"/>
    <w:rsid w:val="00177DAF"/>
    <w:rsid w:val="0018119B"/>
    <w:rsid w:val="001812B3"/>
    <w:rsid w:val="00181D07"/>
    <w:rsid w:val="001826D0"/>
    <w:rsid w:val="00183344"/>
    <w:rsid w:val="00183897"/>
    <w:rsid w:val="001844AB"/>
    <w:rsid w:val="00190F1F"/>
    <w:rsid w:val="001944B8"/>
    <w:rsid w:val="00195399"/>
    <w:rsid w:val="00196DA3"/>
    <w:rsid w:val="00197AC4"/>
    <w:rsid w:val="001A0DCD"/>
    <w:rsid w:val="001A1C8F"/>
    <w:rsid w:val="001A5D34"/>
    <w:rsid w:val="001A68E5"/>
    <w:rsid w:val="001B21DF"/>
    <w:rsid w:val="001B2A54"/>
    <w:rsid w:val="001B3D68"/>
    <w:rsid w:val="001B5014"/>
    <w:rsid w:val="001B7327"/>
    <w:rsid w:val="001B7D1E"/>
    <w:rsid w:val="001C1409"/>
    <w:rsid w:val="001C67F2"/>
    <w:rsid w:val="001D53B4"/>
    <w:rsid w:val="001E1A71"/>
    <w:rsid w:val="001E744D"/>
    <w:rsid w:val="001F28D2"/>
    <w:rsid w:val="001F2F45"/>
    <w:rsid w:val="001F3023"/>
    <w:rsid w:val="001F35F6"/>
    <w:rsid w:val="001F74CA"/>
    <w:rsid w:val="002003B6"/>
    <w:rsid w:val="002020CB"/>
    <w:rsid w:val="002049B4"/>
    <w:rsid w:val="0020520B"/>
    <w:rsid w:val="00213C55"/>
    <w:rsid w:val="002163CF"/>
    <w:rsid w:val="002168C4"/>
    <w:rsid w:val="002178B1"/>
    <w:rsid w:val="00223CF4"/>
    <w:rsid w:val="00224C4A"/>
    <w:rsid w:val="002338E2"/>
    <w:rsid w:val="0023407E"/>
    <w:rsid w:val="00240B40"/>
    <w:rsid w:val="00241D53"/>
    <w:rsid w:val="002440D8"/>
    <w:rsid w:val="00244182"/>
    <w:rsid w:val="0024427E"/>
    <w:rsid w:val="00245F65"/>
    <w:rsid w:val="00246810"/>
    <w:rsid w:val="00260860"/>
    <w:rsid w:val="00260B94"/>
    <w:rsid w:val="00264CE1"/>
    <w:rsid w:val="00264F2E"/>
    <w:rsid w:val="00271245"/>
    <w:rsid w:val="00272E6E"/>
    <w:rsid w:val="00274A9E"/>
    <w:rsid w:val="00276292"/>
    <w:rsid w:val="00276BA1"/>
    <w:rsid w:val="00277094"/>
    <w:rsid w:val="00286BB6"/>
    <w:rsid w:val="002A1A1D"/>
    <w:rsid w:val="002A28AD"/>
    <w:rsid w:val="002A3AEE"/>
    <w:rsid w:val="002A400A"/>
    <w:rsid w:val="002B08E7"/>
    <w:rsid w:val="002B0C18"/>
    <w:rsid w:val="002B5318"/>
    <w:rsid w:val="002B5373"/>
    <w:rsid w:val="002B6D27"/>
    <w:rsid w:val="002C3776"/>
    <w:rsid w:val="002C4BA9"/>
    <w:rsid w:val="002C6E18"/>
    <w:rsid w:val="002D1258"/>
    <w:rsid w:val="002D128A"/>
    <w:rsid w:val="002D16E9"/>
    <w:rsid w:val="002D2965"/>
    <w:rsid w:val="002D3D02"/>
    <w:rsid w:val="002D4CB5"/>
    <w:rsid w:val="002D684B"/>
    <w:rsid w:val="002E3B26"/>
    <w:rsid w:val="002E4AB8"/>
    <w:rsid w:val="002F092B"/>
    <w:rsid w:val="002F5981"/>
    <w:rsid w:val="002F72EE"/>
    <w:rsid w:val="003022B8"/>
    <w:rsid w:val="00310070"/>
    <w:rsid w:val="003110EC"/>
    <w:rsid w:val="00313029"/>
    <w:rsid w:val="00324D38"/>
    <w:rsid w:val="00327C92"/>
    <w:rsid w:val="0033245B"/>
    <w:rsid w:val="00333292"/>
    <w:rsid w:val="003344E7"/>
    <w:rsid w:val="0033580B"/>
    <w:rsid w:val="0033628B"/>
    <w:rsid w:val="003365E7"/>
    <w:rsid w:val="003378D5"/>
    <w:rsid w:val="003419E9"/>
    <w:rsid w:val="003447AE"/>
    <w:rsid w:val="003473D7"/>
    <w:rsid w:val="00351AC8"/>
    <w:rsid w:val="00353075"/>
    <w:rsid w:val="00361BF6"/>
    <w:rsid w:val="00363E02"/>
    <w:rsid w:val="00364A1A"/>
    <w:rsid w:val="00373A96"/>
    <w:rsid w:val="003826C2"/>
    <w:rsid w:val="00383728"/>
    <w:rsid w:val="00383B8D"/>
    <w:rsid w:val="00391586"/>
    <w:rsid w:val="00394128"/>
    <w:rsid w:val="003947A4"/>
    <w:rsid w:val="00395235"/>
    <w:rsid w:val="0039561A"/>
    <w:rsid w:val="00397C7D"/>
    <w:rsid w:val="003A004F"/>
    <w:rsid w:val="003A66BC"/>
    <w:rsid w:val="003B4130"/>
    <w:rsid w:val="003B67D3"/>
    <w:rsid w:val="003B6C76"/>
    <w:rsid w:val="003B715B"/>
    <w:rsid w:val="003C4630"/>
    <w:rsid w:val="003D1D14"/>
    <w:rsid w:val="003D6C7C"/>
    <w:rsid w:val="003D6EFB"/>
    <w:rsid w:val="003D7E52"/>
    <w:rsid w:val="003E25C6"/>
    <w:rsid w:val="003E6BEB"/>
    <w:rsid w:val="003F145B"/>
    <w:rsid w:val="003F2122"/>
    <w:rsid w:val="003F326A"/>
    <w:rsid w:val="003F4A4A"/>
    <w:rsid w:val="004011AA"/>
    <w:rsid w:val="0040202C"/>
    <w:rsid w:val="00406508"/>
    <w:rsid w:val="0041456E"/>
    <w:rsid w:val="00414F7E"/>
    <w:rsid w:val="004164F8"/>
    <w:rsid w:val="00417FD0"/>
    <w:rsid w:val="00420B7F"/>
    <w:rsid w:val="004234BA"/>
    <w:rsid w:val="0042488B"/>
    <w:rsid w:val="00440AFC"/>
    <w:rsid w:val="004427B7"/>
    <w:rsid w:val="0044349F"/>
    <w:rsid w:val="00445F1F"/>
    <w:rsid w:val="00446724"/>
    <w:rsid w:val="00451F60"/>
    <w:rsid w:val="00452BB2"/>
    <w:rsid w:val="004543F2"/>
    <w:rsid w:val="00455467"/>
    <w:rsid w:val="0045656D"/>
    <w:rsid w:val="00462D98"/>
    <w:rsid w:val="00472A44"/>
    <w:rsid w:val="00473A89"/>
    <w:rsid w:val="00474D3B"/>
    <w:rsid w:val="00475899"/>
    <w:rsid w:val="004802A8"/>
    <w:rsid w:val="00482C78"/>
    <w:rsid w:val="004874AE"/>
    <w:rsid w:val="00492E2B"/>
    <w:rsid w:val="00494D24"/>
    <w:rsid w:val="004951D1"/>
    <w:rsid w:val="004A27D0"/>
    <w:rsid w:val="004A4D67"/>
    <w:rsid w:val="004A6FD2"/>
    <w:rsid w:val="004B2D4C"/>
    <w:rsid w:val="004C1D23"/>
    <w:rsid w:val="004C7378"/>
    <w:rsid w:val="004D1030"/>
    <w:rsid w:val="004D3D4B"/>
    <w:rsid w:val="004D5498"/>
    <w:rsid w:val="004D66A5"/>
    <w:rsid w:val="004D6B00"/>
    <w:rsid w:val="004D7951"/>
    <w:rsid w:val="004E0AE0"/>
    <w:rsid w:val="004E1D50"/>
    <w:rsid w:val="004E502F"/>
    <w:rsid w:val="004F0396"/>
    <w:rsid w:val="00501382"/>
    <w:rsid w:val="00501AC9"/>
    <w:rsid w:val="00503E2F"/>
    <w:rsid w:val="005054B9"/>
    <w:rsid w:val="00506E4F"/>
    <w:rsid w:val="00510798"/>
    <w:rsid w:val="00511030"/>
    <w:rsid w:val="00514ED8"/>
    <w:rsid w:val="00515CA9"/>
    <w:rsid w:val="00515F12"/>
    <w:rsid w:val="00522B2E"/>
    <w:rsid w:val="00524A11"/>
    <w:rsid w:val="00527768"/>
    <w:rsid w:val="005327FB"/>
    <w:rsid w:val="00533FCA"/>
    <w:rsid w:val="00541C0B"/>
    <w:rsid w:val="0054317E"/>
    <w:rsid w:val="00544C2A"/>
    <w:rsid w:val="00546D49"/>
    <w:rsid w:val="00556D4C"/>
    <w:rsid w:val="005614B4"/>
    <w:rsid w:val="005616B5"/>
    <w:rsid w:val="005628A2"/>
    <w:rsid w:val="00571315"/>
    <w:rsid w:val="00582075"/>
    <w:rsid w:val="00584A63"/>
    <w:rsid w:val="00585EB3"/>
    <w:rsid w:val="00591688"/>
    <w:rsid w:val="00592509"/>
    <w:rsid w:val="00594986"/>
    <w:rsid w:val="00597B15"/>
    <w:rsid w:val="005A044C"/>
    <w:rsid w:val="005A376D"/>
    <w:rsid w:val="005B5C95"/>
    <w:rsid w:val="005B6740"/>
    <w:rsid w:val="005D0200"/>
    <w:rsid w:val="005D44EF"/>
    <w:rsid w:val="005D4814"/>
    <w:rsid w:val="005D5112"/>
    <w:rsid w:val="005E324A"/>
    <w:rsid w:val="005F03E3"/>
    <w:rsid w:val="005F3914"/>
    <w:rsid w:val="005F3B5A"/>
    <w:rsid w:val="005F6AB4"/>
    <w:rsid w:val="005F74F0"/>
    <w:rsid w:val="00610A66"/>
    <w:rsid w:val="00613177"/>
    <w:rsid w:val="00613F7C"/>
    <w:rsid w:val="00614BF2"/>
    <w:rsid w:val="0061618E"/>
    <w:rsid w:val="00620560"/>
    <w:rsid w:val="006208CB"/>
    <w:rsid w:val="00623DE2"/>
    <w:rsid w:val="00627601"/>
    <w:rsid w:val="006300D0"/>
    <w:rsid w:val="00632012"/>
    <w:rsid w:val="00634694"/>
    <w:rsid w:val="00635F9D"/>
    <w:rsid w:val="00636517"/>
    <w:rsid w:val="00637690"/>
    <w:rsid w:val="00640E1E"/>
    <w:rsid w:val="0064389A"/>
    <w:rsid w:val="00645442"/>
    <w:rsid w:val="006525CD"/>
    <w:rsid w:val="00653353"/>
    <w:rsid w:val="00653F7F"/>
    <w:rsid w:val="00662EE8"/>
    <w:rsid w:val="00663813"/>
    <w:rsid w:val="00663C3B"/>
    <w:rsid w:val="00664AFD"/>
    <w:rsid w:val="00667567"/>
    <w:rsid w:val="0067391A"/>
    <w:rsid w:val="00674173"/>
    <w:rsid w:val="00674602"/>
    <w:rsid w:val="0067535A"/>
    <w:rsid w:val="00677928"/>
    <w:rsid w:val="00683CA0"/>
    <w:rsid w:val="00690DB1"/>
    <w:rsid w:val="00693404"/>
    <w:rsid w:val="00693F9D"/>
    <w:rsid w:val="006953D9"/>
    <w:rsid w:val="00697FE9"/>
    <w:rsid w:val="006A5FEE"/>
    <w:rsid w:val="006B1242"/>
    <w:rsid w:val="006B1DBC"/>
    <w:rsid w:val="006B5F47"/>
    <w:rsid w:val="006B5F8D"/>
    <w:rsid w:val="006B63B7"/>
    <w:rsid w:val="006B7D9A"/>
    <w:rsid w:val="006C06D9"/>
    <w:rsid w:val="006C464F"/>
    <w:rsid w:val="006C5716"/>
    <w:rsid w:val="006C74A9"/>
    <w:rsid w:val="006D07DE"/>
    <w:rsid w:val="006D394E"/>
    <w:rsid w:val="006E06D9"/>
    <w:rsid w:val="006E1D40"/>
    <w:rsid w:val="006E2E1F"/>
    <w:rsid w:val="006E4BE8"/>
    <w:rsid w:val="006F5FFF"/>
    <w:rsid w:val="006F6E33"/>
    <w:rsid w:val="006F7AF3"/>
    <w:rsid w:val="00702CF1"/>
    <w:rsid w:val="00703635"/>
    <w:rsid w:val="007054AA"/>
    <w:rsid w:val="00706D4B"/>
    <w:rsid w:val="00707B8C"/>
    <w:rsid w:val="00710804"/>
    <w:rsid w:val="00711FC6"/>
    <w:rsid w:val="007130B1"/>
    <w:rsid w:val="00715071"/>
    <w:rsid w:val="0072140F"/>
    <w:rsid w:val="007217EE"/>
    <w:rsid w:val="007231E9"/>
    <w:rsid w:val="00727C59"/>
    <w:rsid w:val="00734E5D"/>
    <w:rsid w:val="00735AF1"/>
    <w:rsid w:val="00736013"/>
    <w:rsid w:val="00737661"/>
    <w:rsid w:val="00737FF3"/>
    <w:rsid w:val="00755D75"/>
    <w:rsid w:val="00756245"/>
    <w:rsid w:val="0076130F"/>
    <w:rsid w:val="00761662"/>
    <w:rsid w:val="00764043"/>
    <w:rsid w:val="00771B05"/>
    <w:rsid w:val="007757CF"/>
    <w:rsid w:val="00776FFC"/>
    <w:rsid w:val="0078128F"/>
    <w:rsid w:val="00784154"/>
    <w:rsid w:val="00784FFD"/>
    <w:rsid w:val="0078683C"/>
    <w:rsid w:val="00790EDB"/>
    <w:rsid w:val="00791538"/>
    <w:rsid w:val="007918F0"/>
    <w:rsid w:val="0079326E"/>
    <w:rsid w:val="00796EDE"/>
    <w:rsid w:val="00797A02"/>
    <w:rsid w:val="007A27A9"/>
    <w:rsid w:val="007A5A58"/>
    <w:rsid w:val="007A6740"/>
    <w:rsid w:val="007A7324"/>
    <w:rsid w:val="007B1C56"/>
    <w:rsid w:val="007B4996"/>
    <w:rsid w:val="007C3CD5"/>
    <w:rsid w:val="007C61EF"/>
    <w:rsid w:val="007C734B"/>
    <w:rsid w:val="007D1C0D"/>
    <w:rsid w:val="007D2D23"/>
    <w:rsid w:val="007D7644"/>
    <w:rsid w:val="007E27D6"/>
    <w:rsid w:val="007E3921"/>
    <w:rsid w:val="007E5DDE"/>
    <w:rsid w:val="007F0FBD"/>
    <w:rsid w:val="007F40C2"/>
    <w:rsid w:val="00801028"/>
    <w:rsid w:val="00802CE2"/>
    <w:rsid w:val="00803793"/>
    <w:rsid w:val="0080643F"/>
    <w:rsid w:val="00807DAC"/>
    <w:rsid w:val="00814052"/>
    <w:rsid w:val="008149FD"/>
    <w:rsid w:val="00817A01"/>
    <w:rsid w:val="00823389"/>
    <w:rsid w:val="00824F21"/>
    <w:rsid w:val="0082500C"/>
    <w:rsid w:val="00825E35"/>
    <w:rsid w:val="008334F8"/>
    <w:rsid w:val="008341AA"/>
    <w:rsid w:val="00835D8E"/>
    <w:rsid w:val="008372F6"/>
    <w:rsid w:val="008377CA"/>
    <w:rsid w:val="00844D03"/>
    <w:rsid w:val="00847B0F"/>
    <w:rsid w:val="00852994"/>
    <w:rsid w:val="008723C4"/>
    <w:rsid w:val="00873D89"/>
    <w:rsid w:val="00876659"/>
    <w:rsid w:val="00876677"/>
    <w:rsid w:val="0087734C"/>
    <w:rsid w:val="00882141"/>
    <w:rsid w:val="00882508"/>
    <w:rsid w:val="00887E3B"/>
    <w:rsid w:val="008922A8"/>
    <w:rsid w:val="00895728"/>
    <w:rsid w:val="00895BD5"/>
    <w:rsid w:val="0089742B"/>
    <w:rsid w:val="008A16C4"/>
    <w:rsid w:val="008A6FED"/>
    <w:rsid w:val="008B39C5"/>
    <w:rsid w:val="008B51AA"/>
    <w:rsid w:val="008B7932"/>
    <w:rsid w:val="008C4704"/>
    <w:rsid w:val="008C67F2"/>
    <w:rsid w:val="008D064A"/>
    <w:rsid w:val="008D0FDB"/>
    <w:rsid w:val="008D2B0F"/>
    <w:rsid w:val="008D30BC"/>
    <w:rsid w:val="008D4BC4"/>
    <w:rsid w:val="008E449E"/>
    <w:rsid w:val="008E7062"/>
    <w:rsid w:val="008F187F"/>
    <w:rsid w:val="008F402F"/>
    <w:rsid w:val="008F55FA"/>
    <w:rsid w:val="008F76E8"/>
    <w:rsid w:val="008F7CD0"/>
    <w:rsid w:val="00902902"/>
    <w:rsid w:val="00902A4B"/>
    <w:rsid w:val="00903741"/>
    <w:rsid w:val="00906786"/>
    <w:rsid w:val="009078A1"/>
    <w:rsid w:val="00911E9C"/>
    <w:rsid w:val="00915083"/>
    <w:rsid w:val="00917405"/>
    <w:rsid w:val="00920035"/>
    <w:rsid w:val="00920F7C"/>
    <w:rsid w:val="0092171B"/>
    <w:rsid w:val="00933D46"/>
    <w:rsid w:val="00934CAE"/>
    <w:rsid w:val="0094257D"/>
    <w:rsid w:val="00942F60"/>
    <w:rsid w:val="0095211B"/>
    <w:rsid w:val="0095467C"/>
    <w:rsid w:val="00954A61"/>
    <w:rsid w:val="00955C6F"/>
    <w:rsid w:val="00966C7B"/>
    <w:rsid w:val="009701DC"/>
    <w:rsid w:val="009715D8"/>
    <w:rsid w:val="00974C99"/>
    <w:rsid w:val="00980D0D"/>
    <w:rsid w:val="00981874"/>
    <w:rsid w:val="00985C4B"/>
    <w:rsid w:val="00987E42"/>
    <w:rsid w:val="00995BF9"/>
    <w:rsid w:val="00995EF6"/>
    <w:rsid w:val="00997C3C"/>
    <w:rsid w:val="009A0CAF"/>
    <w:rsid w:val="009A1474"/>
    <w:rsid w:val="009A2207"/>
    <w:rsid w:val="009A5147"/>
    <w:rsid w:val="009A74C4"/>
    <w:rsid w:val="009B02D2"/>
    <w:rsid w:val="009B6C42"/>
    <w:rsid w:val="009D31F7"/>
    <w:rsid w:val="009D32C2"/>
    <w:rsid w:val="009D50DB"/>
    <w:rsid w:val="009D79FD"/>
    <w:rsid w:val="009E3A0A"/>
    <w:rsid w:val="009F26D4"/>
    <w:rsid w:val="009F3E91"/>
    <w:rsid w:val="009F68B6"/>
    <w:rsid w:val="009F6CE7"/>
    <w:rsid w:val="009F7D7D"/>
    <w:rsid w:val="00A01670"/>
    <w:rsid w:val="00A05CA3"/>
    <w:rsid w:val="00A1499B"/>
    <w:rsid w:val="00A20879"/>
    <w:rsid w:val="00A20AFC"/>
    <w:rsid w:val="00A23E47"/>
    <w:rsid w:val="00A314C2"/>
    <w:rsid w:val="00A43B9C"/>
    <w:rsid w:val="00A5015A"/>
    <w:rsid w:val="00A53155"/>
    <w:rsid w:val="00A56FFA"/>
    <w:rsid w:val="00A63E86"/>
    <w:rsid w:val="00A65A1C"/>
    <w:rsid w:val="00A757C3"/>
    <w:rsid w:val="00A75E5B"/>
    <w:rsid w:val="00A7684A"/>
    <w:rsid w:val="00A82AED"/>
    <w:rsid w:val="00A83B69"/>
    <w:rsid w:val="00A86533"/>
    <w:rsid w:val="00A90906"/>
    <w:rsid w:val="00A91176"/>
    <w:rsid w:val="00A9176A"/>
    <w:rsid w:val="00A91CA2"/>
    <w:rsid w:val="00A92FB8"/>
    <w:rsid w:val="00A948F1"/>
    <w:rsid w:val="00AA1D7D"/>
    <w:rsid w:val="00AA7525"/>
    <w:rsid w:val="00AB0EA9"/>
    <w:rsid w:val="00AB139D"/>
    <w:rsid w:val="00AB2C46"/>
    <w:rsid w:val="00AB3EFB"/>
    <w:rsid w:val="00AB5EF7"/>
    <w:rsid w:val="00AC0B05"/>
    <w:rsid w:val="00AC525E"/>
    <w:rsid w:val="00AC763F"/>
    <w:rsid w:val="00AD079A"/>
    <w:rsid w:val="00AD1890"/>
    <w:rsid w:val="00AD25EE"/>
    <w:rsid w:val="00AE2149"/>
    <w:rsid w:val="00AE33AE"/>
    <w:rsid w:val="00AE3785"/>
    <w:rsid w:val="00AE3F91"/>
    <w:rsid w:val="00AE452F"/>
    <w:rsid w:val="00AE4956"/>
    <w:rsid w:val="00AE76E6"/>
    <w:rsid w:val="00B00ACC"/>
    <w:rsid w:val="00B039E3"/>
    <w:rsid w:val="00B043C1"/>
    <w:rsid w:val="00B22838"/>
    <w:rsid w:val="00B260E9"/>
    <w:rsid w:val="00B26F19"/>
    <w:rsid w:val="00B27D52"/>
    <w:rsid w:val="00B32BC1"/>
    <w:rsid w:val="00B33E95"/>
    <w:rsid w:val="00B34EE1"/>
    <w:rsid w:val="00B35B5E"/>
    <w:rsid w:val="00B3720B"/>
    <w:rsid w:val="00B40EE3"/>
    <w:rsid w:val="00B4535A"/>
    <w:rsid w:val="00B55271"/>
    <w:rsid w:val="00B5558A"/>
    <w:rsid w:val="00B56513"/>
    <w:rsid w:val="00B56B2E"/>
    <w:rsid w:val="00B64107"/>
    <w:rsid w:val="00B64376"/>
    <w:rsid w:val="00B71533"/>
    <w:rsid w:val="00B7401F"/>
    <w:rsid w:val="00B806C3"/>
    <w:rsid w:val="00B838F5"/>
    <w:rsid w:val="00B84FCA"/>
    <w:rsid w:val="00B9089F"/>
    <w:rsid w:val="00B91AEE"/>
    <w:rsid w:val="00B94F71"/>
    <w:rsid w:val="00B95F5A"/>
    <w:rsid w:val="00B96EAD"/>
    <w:rsid w:val="00BA22AF"/>
    <w:rsid w:val="00BA4B42"/>
    <w:rsid w:val="00BA79F5"/>
    <w:rsid w:val="00BB02E8"/>
    <w:rsid w:val="00BB3AB6"/>
    <w:rsid w:val="00BB766D"/>
    <w:rsid w:val="00BC007B"/>
    <w:rsid w:val="00BC15E7"/>
    <w:rsid w:val="00BC26BA"/>
    <w:rsid w:val="00BC35F8"/>
    <w:rsid w:val="00BC49BF"/>
    <w:rsid w:val="00BC5043"/>
    <w:rsid w:val="00BC7140"/>
    <w:rsid w:val="00BD1B89"/>
    <w:rsid w:val="00BD3944"/>
    <w:rsid w:val="00BE2274"/>
    <w:rsid w:val="00BE3211"/>
    <w:rsid w:val="00BF300D"/>
    <w:rsid w:val="00BF376F"/>
    <w:rsid w:val="00BF46A6"/>
    <w:rsid w:val="00BF62CF"/>
    <w:rsid w:val="00BF6B98"/>
    <w:rsid w:val="00BF73D6"/>
    <w:rsid w:val="00C06545"/>
    <w:rsid w:val="00C1161C"/>
    <w:rsid w:val="00C17F66"/>
    <w:rsid w:val="00C220FC"/>
    <w:rsid w:val="00C23C86"/>
    <w:rsid w:val="00C24DFA"/>
    <w:rsid w:val="00C35561"/>
    <w:rsid w:val="00C36281"/>
    <w:rsid w:val="00C4202A"/>
    <w:rsid w:val="00C4211F"/>
    <w:rsid w:val="00C46A36"/>
    <w:rsid w:val="00C47037"/>
    <w:rsid w:val="00C53625"/>
    <w:rsid w:val="00C602C1"/>
    <w:rsid w:val="00C61C98"/>
    <w:rsid w:val="00C63FC0"/>
    <w:rsid w:val="00C66392"/>
    <w:rsid w:val="00C74C5E"/>
    <w:rsid w:val="00C76C1F"/>
    <w:rsid w:val="00C77487"/>
    <w:rsid w:val="00C827A2"/>
    <w:rsid w:val="00C82B69"/>
    <w:rsid w:val="00C85394"/>
    <w:rsid w:val="00C8657D"/>
    <w:rsid w:val="00C91B28"/>
    <w:rsid w:val="00C91F3A"/>
    <w:rsid w:val="00C94A6F"/>
    <w:rsid w:val="00CA06E3"/>
    <w:rsid w:val="00CA6FD6"/>
    <w:rsid w:val="00CB1C61"/>
    <w:rsid w:val="00CB328B"/>
    <w:rsid w:val="00CB5797"/>
    <w:rsid w:val="00CB6050"/>
    <w:rsid w:val="00CC1202"/>
    <w:rsid w:val="00CC4099"/>
    <w:rsid w:val="00CC45C1"/>
    <w:rsid w:val="00CD09E1"/>
    <w:rsid w:val="00CD5078"/>
    <w:rsid w:val="00CD6202"/>
    <w:rsid w:val="00CE2486"/>
    <w:rsid w:val="00CE2A4E"/>
    <w:rsid w:val="00CE4913"/>
    <w:rsid w:val="00CE66BD"/>
    <w:rsid w:val="00CF0671"/>
    <w:rsid w:val="00CF44AD"/>
    <w:rsid w:val="00CF4FC0"/>
    <w:rsid w:val="00CF7642"/>
    <w:rsid w:val="00D00D31"/>
    <w:rsid w:val="00D015FD"/>
    <w:rsid w:val="00D03909"/>
    <w:rsid w:val="00D1072F"/>
    <w:rsid w:val="00D108A5"/>
    <w:rsid w:val="00D14585"/>
    <w:rsid w:val="00D20EFF"/>
    <w:rsid w:val="00D3057E"/>
    <w:rsid w:val="00D30F1B"/>
    <w:rsid w:val="00D30FC0"/>
    <w:rsid w:val="00D34F0D"/>
    <w:rsid w:val="00D3516E"/>
    <w:rsid w:val="00D4064C"/>
    <w:rsid w:val="00D471AC"/>
    <w:rsid w:val="00D47F9F"/>
    <w:rsid w:val="00D53ED8"/>
    <w:rsid w:val="00D56380"/>
    <w:rsid w:val="00D56A0A"/>
    <w:rsid w:val="00D56A47"/>
    <w:rsid w:val="00D64857"/>
    <w:rsid w:val="00D6493A"/>
    <w:rsid w:val="00D64EE2"/>
    <w:rsid w:val="00D67875"/>
    <w:rsid w:val="00D71CBD"/>
    <w:rsid w:val="00D71E86"/>
    <w:rsid w:val="00D731C6"/>
    <w:rsid w:val="00D745C5"/>
    <w:rsid w:val="00D75327"/>
    <w:rsid w:val="00D76473"/>
    <w:rsid w:val="00D80C36"/>
    <w:rsid w:val="00D84554"/>
    <w:rsid w:val="00D86779"/>
    <w:rsid w:val="00D86EE1"/>
    <w:rsid w:val="00D9120E"/>
    <w:rsid w:val="00D913B1"/>
    <w:rsid w:val="00D93793"/>
    <w:rsid w:val="00D96126"/>
    <w:rsid w:val="00D97451"/>
    <w:rsid w:val="00DA4AF9"/>
    <w:rsid w:val="00DB4B1C"/>
    <w:rsid w:val="00DB5085"/>
    <w:rsid w:val="00DB7706"/>
    <w:rsid w:val="00DC1062"/>
    <w:rsid w:val="00DC132C"/>
    <w:rsid w:val="00DC774B"/>
    <w:rsid w:val="00DD00E7"/>
    <w:rsid w:val="00DD330E"/>
    <w:rsid w:val="00DD43F0"/>
    <w:rsid w:val="00DD44DE"/>
    <w:rsid w:val="00DE09AB"/>
    <w:rsid w:val="00DE4A3F"/>
    <w:rsid w:val="00DE4E53"/>
    <w:rsid w:val="00DE7AE9"/>
    <w:rsid w:val="00DF4367"/>
    <w:rsid w:val="00E0574A"/>
    <w:rsid w:val="00E1243D"/>
    <w:rsid w:val="00E12742"/>
    <w:rsid w:val="00E12E4A"/>
    <w:rsid w:val="00E146D4"/>
    <w:rsid w:val="00E20976"/>
    <w:rsid w:val="00E22079"/>
    <w:rsid w:val="00E22B44"/>
    <w:rsid w:val="00E236D8"/>
    <w:rsid w:val="00E30ACD"/>
    <w:rsid w:val="00E3184B"/>
    <w:rsid w:val="00E32735"/>
    <w:rsid w:val="00E5391D"/>
    <w:rsid w:val="00E544E5"/>
    <w:rsid w:val="00E54D1D"/>
    <w:rsid w:val="00E66E36"/>
    <w:rsid w:val="00E673FB"/>
    <w:rsid w:val="00E6781E"/>
    <w:rsid w:val="00E702ED"/>
    <w:rsid w:val="00E705CC"/>
    <w:rsid w:val="00E709A4"/>
    <w:rsid w:val="00E71DD8"/>
    <w:rsid w:val="00E73822"/>
    <w:rsid w:val="00E772DB"/>
    <w:rsid w:val="00E86012"/>
    <w:rsid w:val="00E86BAB"/>
    <w:rsid w:val="00E901A1"/>
    <w:rsid w:val="00E94E10"/>
    <w:rsid w:val="00E954BD"/>
    <w:rsid w:val="00E96743"/>
    <w:rsid w:val="00E96A42"/>
    <w:rsid w:val="00EA0A36"/>
    <w:rsid w:val="00EA1862"/>
    <w:rsid w:val="00EA49C5"/>
    <w:rsid w:val="00EA6842"/>
    <w:rsid w:val="00EB1C1C"/>
    <w:rsid w:val="00EB5027"/>
    <w:rsid w:val="00EC1836"/>
    <w:rsid w:val="00EC3990"/>
    <w:rsid w:val="00EC484B"/>
    <w:rsid w:val="00ED15FA"/>
    <w:rsid w:val="00ED1E00"/>
    <w:rsid w:val="00ED7DA8"/>
    <w:rsid w:val="00EE228F"/>
    <w:rsid w:val="00EE238D"/>
    <w:rsid w:val="00EE6E9A"/>
    <w:rsid w:val="00EF0BF1"/>
    <w:rsid w:val="00EF26C0"/>
    <w:rsid w:val="00EF27DA"/>
    <w:rsid w:val="00EF2AC4"/>
    <w:rsid w:val="00EF2F33"/>
    <w:rsid w:val="00EF397E"/>
    <w:rsid w:val="00F06F68"/>
    <w:rsid w:val="00F1332D"/>
    <w:rsid w:val="00F1534B"/>
    <w:rsid w:val="00F1713B"/>
    <w:rsid w:val="00F212CB"/>
    <w:rsid w:val="00F23C7D"/>
    <w:rsid w:val="00F243DB"/>
    <w:rsid w:val="00F24C2D"/>
    <w:rsid w:val="00F24F1B"/>
    <w:rsid w:val="00F27356"/>
    <w:rsid w:val="00F32A81"/>
    <w:rsid w:val="00F35AE7"/>
    <w:rsid w:val="00F40D34"/>
    <w:rsid w:val="00F46998"/>
    <w:rsid w:val="00F47100"/>
    <w:rsid w:val="00F5382D"/>
    <w:rsid w:val="00F53D9C"/>
    <w:rsid w:val="00F5462B"/>
    <w:rsid w:val="00F634AD"/>
    <w:rsid w:val="00F63677"/>
    <w:rsid w:val="00F63ABE"/>
    <w:rsid w:val="00F65E93"/>
    <w:rsid w:val="00F75B81"/>
    <w:rsid w:val="00F804C4"/>
    <w:rsid w:val="00F82F83"/>
    <w:rsid w:val="00F832E5"/>
    <w:rsid w:val="00F90F40"/>
    <w:rsid w:val="00F92B30"/>
    <w:rsid w:val="00F933B9"/>
    <w:rsid w:val="00F933CE"/>
    <w:rsid w:val="00F94674"/>
    <w:rsid w:val="00F94919"/>
    <w:rsid w:val="00F94A59"/>
    <w:rsid w:val="00FA1025"/>
    <w:rsid w:val="00FA25B6"/>
    <w:rsid w:val="00FA2FAF"/>
    <w:rsid w:val="00FA5CCF"/>
    <w:rsid w:val="00FA64B1"/>
    <w:rsid w:val="00FA70F3"/>
    <w:rsid w:val="00FA71CD"/>
    <w:rsid w:val="00FB0453"/>
    <w:rsid w:val="00FB0C07"/>
    <w:rsid w:val="00FB298D"/>
    <w:rsid w:val="00FB3F3D"/>
    <w:rsid w:val="00FB5073"/>
    <w:rsid w:val="00FC1439"/>
    <w:rsid w:val="00FC42E7"/>
    <w:rsid w:val="00FC58BE"/>
    <w:rsid w:val="00FC7225"/>
    <w:rsid w:val="00FC724B"/>
    <w:rsid w:val="00FC767C"/>
    <w:rsid w:val="00FC7910"/>
    <w:rsid w:val="00FD0834"/>
    <w:rsid w:val="00FD6EA4"/>
    <w:rsid w:val="00FE13AD"/>
    <w:rsid w:val="00FE348D"/>
    <w:rsid w:val="00FE51C8"/>
    <w:rsid w:val="00FE53B6"/>
    <w:rsid w:val="00FE72A6"/>
    <w:rsid w:val="00FF0ABF"/>
    <w:rsid w:val="00FF0DA7"/>
    <w:rsid w:val="00FF44E0"/>
    <w:rsid w:val="00FF4CB6"/>
    <w:rsid w:val="00FF5834"/>
    <w:rsid w:val="00FF6C72"/>
    <w:rsid w:val="017B1BF9"/>
    <w:rsid w:val="01E93A1B"/>
    <w:rsid w:val="0214602E"/>
    <w:rsid w:val="03486B27"/>
    <w:rsid w:val="040A094E"/>
    <w:rsid w:val="040E27E3"/>
    <w:rsid w:val="04777EDA"/>
    <w:rsid w:val="056F201D"/>
    <w:rsid w:val="05B664D4"/>
    <w:rsid w:val="064B485A"/>
    <w:rsid w:val="06632BEF"/>
    <w:rsid w:val="068C65C4"/>
    <w:rsid w:val="07076C01"/>
    <w:rsid w:val="071C12AC"/>
    <w:rsid w:val="07A934B3"/>
    <w:rsid w:val="07E67F71"/>
    <w:rsid w:val="07EB6287"/>
    <w:rsid w:val="0806421B"/>
    <w:rsid w:val="0980799C"/>
    <w:rsid w:val="09944B8E"/>
    <w:rsid w:val="0A474667"/>
    <w:rsid w:val="0A6A18DB"/>
    <w:rsid w:val="0A975B48"/>
    <w:rsid w:val="0AEF3828"/>
    <w:rsid w:val="0B406381"/>
    <w:rsid w:val="0BB452AA"/>
    <w:rsid w:val="0BBB665B"/>
    <w:rsid w:val="0D057296"/>
    <w:rsid w:val="0DCE0566"/>
    <w:rsid w:val="0EEA6FC1"/>
    <w:rsid w:val="0F790928"/>
    <w:rsid w:val="100B407B"/>
    <w:rsid w:val="105F2D7C"/>
    <w:rsid w:val="107127F4"/>
    <w:rsid w:val="10CD72BB"/>
    <w:rsid w:val="11FC4B10"/>
    <w:rsid w:val="12197477"/>
    <w:rsid w:val="13172BD4"/>
    <w:rsid w:val="131B5CD3"/>
    <w:rsid w:val="13776448"/>
    <w:rsid w:val="13B60688"/>
    <w:rsid w:val="1466407E"/>
    <w:rsid w:val="14834E28"/>
    <w:rsid w:val="148E7D65"/>
    <w:rsid w:val="14B22D17"/>
    <w:rsid w:val="15231BF9"/>
    <w:rsid w:val="1524655E"/>
    <w:rsid w:val="15353963"/>
    <w:rsid w:val="15C4546D"/>
    <w:rsid w:val="17DF2075"/>
    <w:rsid w:val="18D314AE"/>
    <w:rsid w:val="19E5593D"/>
    <w:rsid w:val="1A064976"/>
    <w:rsid w:val="1A3B68AA"/>
    <w:rsid w:val="1A3E1C1E"/>
    <w:rsid w:val="1AB560FF"/>
    <w:rsid w:val="1B6F4F40"/>
    <w:rsid w:val="1B6F6E6F"/>
    <w:rsid w:val="1C141836"/>
    <w:rsid w:val="1C76537D"/>
    <w:rsid w:val="1D6B6159"/>
    <w:rsid w:val="1DED2FEC"/>
    <w:rsid w:val="1E6B6A14"/>
    <w:rsid w:val="1E954CE4"/>
    <w:rsid w:val="20000DDB"/>
    <w:rsid w:val="20550D9A"/>
    <w:rsid w:val="21111FE2"/>
    <w:rsid w:val="211803A6"/>
    <w:rsid w:val="218E2416"/>
    <w:rsid w:val="226915FE"/>
    <w:rsid w:val="24047963"/>
    <w:rsid w:val="241804A5"/>
    <w:rsid w:val="24B30B11"/>
    <w:rsid w:val="24B97929"/>
    <w:rsid w:val="24D632D7"/>
    <w:rsid w:val="2507619B"/>
    <w:rsid w:val="266F1CBE"/>
    <w:rsid w:val="271E6D47"/>
    <w:rsid w:val="279B2BB9"/>
    <w:rsid w:val="27D65DBA"/>
    <w:rsid w:val="28284753"/>
    <w:rsid w:val="285F40CA"/>
    <w:rsid w:val="28767246"/>
    <w:rsid w:val="289E1AF0"/>
    <w:rsid w:val="28C01ECB"/>
    <w:rsid w:val="29284706"/>
    <w:rsid w:val="29BF71E3"/>
    <w:rsid w:val="29D6387F"/>
    <w:rsid w:val="2A127B63"/>
    <w:rsid w:val="2A451A6C"/>
    <w:rsid w:val="2AAA4765"/>
    <w:rsid w:val="2AC21606"/>
    <w:rsid w:val="2B7E7608"/>
    <w:rsid w:val="2B7F04E9"/>
    <w:rsid w:val="2B8B554A"/>
    <w:rsid w:val="2B994E5D"/>
    <w:rsid w:val="2C300C99"/>
    <w:rsid w:val="2D496D68"/>
    <w:rsid w:val="2D940AD9"/>
    <w:rsid w:val="2E5254D6"/>
    <w:rsid w:val="2E7A48DE"/>
    <w:rsid w:val="2EBA5177"/>
    <w:rsid w:val="2EDC3ED8"/>
    <w:rsid w:val="2F104B00"/>
    <w:rsid w:val="2F6351B4"/>
    <w:rsid w:val="2FC86126"/>
    <w:rsid w:val="2FCF199E"/>
    <w:rsid w:val="30483E83"/>
    <w:rsid w:val="30574406"/>
    <w:rsid w:val="30BF3991"/>
    <w:rsid w:val="3111619A"/>
    <w:rsid w:val="31B139DC"/>
    <w:rsid w:val="32497AF3"/>
    <w:rsid w:val="343C0775"/>
    <w:rsid w:val="348C488F"/>
    <w:rsid w:val="350F53D2"/>
    <w:rsid w:val="356C50EC"/>
    <w:rsid w:val="36137E45"/>
    <w:rsid w:val="36376E0A"/>
    <w:rsid w:val="3700166C"/>
    <w:rsid w:val="379A1012"/>
    <w:rsid w:val="38694EE9"/>
    <w:rsid w:val="3922196A"/>
    <w:rsid w:val="39FC3DAB"/>
    <w:rsid w:val="3A303670"/>
    <w:rsid w:val="3A6818FA"/>
    <w:rsid w:val="3B365CC9"/>
    <w:rsid w:val="3B366C62"/>
    <w:rsid w:val="3B9A7B88"/>
    <w:rsid w:val="3C892021"/>
    <w:rsid w:val="3D0D0E4C"/>
    <w:rsid w:val="3D2C7AC8"/>
    <w:rsid w:val="3D61709F"/>
    <w:rsid w:val="3D855D12"/>
    <w:rsid w:val="3D8B42FF"/>
    <w:rsid w:val="3DE86C4C"/>
    <w:rsid w:val="3DF36A6E"/>
    <w:rsid w:val="3EBA1EE9"/>
    <w:rsid w:val="3EFE69D5"/>
    <w:rsid w:val="3F2D52D8"/>
    <w:rsid w:val="3F792F1E"/>
    <w:rsid w:val="40824826"/>
    <w:rsid w:val="40E63923"/>
    <w:rsid w:val="411418DD"/>
    <w:rsid w:val="42AE1E3F"/>
    <w:rsid w:val="43A91E5B"/>
    <w:rsid w:val="449E0D39"/>
    <w:rsid w:val="45804818"/>
    <w:rsid w:val="458D1A0B"/>
    <w:rsid w:val="45E32B26"/>
    <w:rsid w:val="463A3650"/>
    <w:rsid w:val="46461627"/>
    <w:rsid w:val="469F0116"/>
    <w:rsid w:val="475259B7"/>
    <w:rsid w:val="488302AE"/>
    <w:rsid w:val="48831CF9"/>
    <w:rsid w:val="48D80F37"/>
    <w:rsid w:val="49024C9C"/>
    <w:rsid w:val="49B1408D"/>
    <w:rsid w:val="4A7D4FD2"/>
    <w:rsid w:val="4A913C9A"/>
    <w:rsid w:val="4B1F70AC"/>
    <w:rsid w:val="4B240F94"/>
    <w:rsid w:val="4B660C38"/>
    <w:rsid w:val="4BBC402F"/>
    <w:rsid w:val="4C0832E5"/>
    <w:rsid w:val="4C3C565C"/>
    <w:rsid w:val="4CCC79C7"/>
    <w:rsid w:val="4D0A4797"/>
    <w:rsid w:val="4D180490"/>
    <w:rsid w:val="4D7555C7"/>
    <w:rsid w:val="4DE2615C"/>
    <w:rsid w:val="4EAE6DA0"/>
    <w:rsid w:val="4F003FF5"/>
    <w:rsid w:val="4FE617D9"/>
    <w:rsid w:val="4FE9696F"/>
    <w:rsid w:val="50155437"/>
    <w:rsid w:val="5016514B"/>
    <w:rsid w:val="50BD4DF3"/>
    <w:rsid w:val="50E905CA"/>
    <w:rsid w:val="50FC1A26"/>
    <w:rsid w:val="51723664"/>
    <w:rsid w:val="51824B2A"/>
    <w:rsid w:val="51CB1C78"/>
    <w:rsid w:val="51FD6A51"/>
    <w:rsid w:val="526B680A"/>
    <w:rsid w:val="52836F71"/>
    <w:rsid w:val="52AB74E2"/>
    <w:rsid w:val="52D26B02"/>
    <w:rsid w:val="53B45840"/>
    <w:rsid w:val="53DB295F"/>
    <w:rsid w:val="541A5D30"/>
    <w:rsid w:val="55C1559C"/>
    <w:rsid w:val="55F068CD"/>
    <w:rsid w:val="566C3136"/>
    <w:rsid w:val="568D04F2"/>
    <w:rsid w:val="57796FF9"/>
    <w:rsid w:val="57A52A9D"/>
    <w:rsid w:val="588A1A2B"/>
    <w:rsid w:val="596370C9"/>
    <w:rsid w:val="5A526582"/>
    <w:rsid w:val="5A5F5C77"/>
    <w:rsid w:val="5A711A0D"/>
    <w:rsid w:val="5B1613E4"/>
    <w:rsid w:val="5B78003B"/>
    <w:rsid w:val="5BC11A60"/>
    <w:rsid w:val="5C7A4D54"/>
    <w:rsid w:val="5CD23B73"/>
    <w:rsid w:val="5F127819"/>
    <w:rsid w:val="5FA479D3"/>
    <w:rsid w:val="5FB758E0"/>
    <w:rsid w:val="60350ED3"/>
    <w:rsid w:val="60B72AEE"/>
    <w:rsid w:val="61025188"/>
    <w:rsid w:val="61057D5F"/>
    <w:rsid w:val="6126068F"/>
    <w:rsid w:val="614D4977"/>
    <w:rsid w:val="61776447"/>
    <w:rsid w:val="62CA67C1"/>
    <w:rsid w:val="630F35B5"/>
    <w:rsid w:val="63C60FC0"/>
    <w:rsid w:val="648F4C1D"/>
    <w:rsid w:val="64BA3D7A"/>
    <w:rsid w:val="64F179BC"/>
    <w:rsid w:val="656A1473"/>
    <w:rsid w:val="665704D3"/>
    <w:rsid w:val="67C065A4"/>
    <w:rsid w:val="67D359C9"/>
    <w:rsid w:val="68042537"/>
    <w:rsid w:val="68097457"/>
    <w:rsid w:val="68AF6419"/>
    <w:rsid w:val="68FE36DD"/>
    <w:rsid w:val="692D193D"/>
    <w:rsid w:val="694E60FC"/>
    <w:rsid w:val="696B5D85"/>
    <w:rsid w:val="6A256904"/>
    <w:rsid w:val="6A6C26E4"/>
    <w:rsid w:val="6AF723A7"/>
    <w:rsid w:val="6B656832"/>
    <w:rsid w:val="6C675CE6"/>
    <w:rsid w:val="6CD12B40"/>
    <w:rsid w:val="6D3671B7"/>
    <w:rsid w:val="6D4F4321"/>
    <w:rsid w:val="6DF41B82"/>
    <w:rsid w:val="6DFF7360"/>
    <w:rsid w:val="6E116584"/>
    <w:rsid w:val="6E55366C"/>
    <w:rsid w:val="6E7A5F73"/>
    <w:rsid w:val="6EE90F9D"/>
    <w:rsid w:val="6F0E2FCE"/>
    <w:rsid w:val="6FD74228"/>
    <w:rsid w:val="7021106F"/>
    <w:rsid w:val="70FF5B11"/>
    <w:rsid w:val="71133888"/>
    <w:rsid w:val="71633091"/>
    <w:rsid w:val="728E539F"/>
    <w:rsid w:val="73081CA5"/>
    <w:rsid w:val="74201F7D"/>
    <w:rsid w:val="7487762D"/>
    <w:rsid w:val="74C33AA4"/>
    <w:rsid w:val="75210D7A"/>
    <w:rsid w:val="75385498"/>
    <w:rsid w:val="75F37776"/>
    <w:rsid w:val="76BC207F"/>
    <w:rsid w:val="76EB4904"/>
    <w:rsid w:val="77645DCD"/>
    <w:rsid w:val="777378F5"/>
    <w:rsid w:val="777A2D3C"/>
    <w:rsid w:val="78210C4C"/>
    <w:rsid w:val="784529A4"/>
    <w:rsid w:val="78E436EF"/>
    <w:rsid w:val="79074B81"/>
    <w:rsid w:val="791F719F"/>
    <w:rsid w:val="794F0939"/>
    <w:rsid w:val="798E1864"/>
    <w:rsid w:val="79AF0FCA"/>
    <w:rsid w:val="7A8521A7"/>
    <w:rsid w:val="7ADC41B7"/>
    <w:rsid w:val="7AF9279C"/>
    <w:rsid w:val="7B002BB2"/>
    <w:rsid w:val="7B1F4E3C"/>
    <w:rsid w:val="7CC51958"/>
    <w:rsid w:val="7CD53DF9"/>
    <w:rsid w:val="7D097C86"/>
    <w:rsid w:val="7E2936C3"/>
    <w:rsid w:val="7E6411B9"/>
    <w:rsid w:val="7F2B4C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0" w:semiHidden="0" w:name="Strong"/>
    <w:lsdException w:qFormat="1" w:unhideWhenUsed="0" w:uiPriority="0" w:semiHidden="0" w:name="Emphasis"/>
    <w:lsdException w:uiPriority="99" w:name="Document Map"/>
    <w:lsdException w:qFormat="1" w:unhideWhenUsed="0" w:uiPriority="99"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仿宋_GB2312" w:hAnsi="@仿宋_GB2312" w:eastAsia="@仿宋_GB2312" w:cs="@仿宋_GB2312"/>
      <w:kern w:val="2"/>
      <w:sz w:val="21"/>
      <w:lang w:val="en-US" w:eastAsia="zh-CN" w:bidi="ar-SA"/>
    </w:rPr>
  </w:style>
  <w:style w:type="paragraph" w:styleId="3">
    <w:name w:val="heading 1"/>
    <w:basedOn w:val="1"/>
    <w:next w:val="1"/>
    <w:link w:val="49"/>
    <w:qFormat/>
    <w:uiPriority w:val="9"/>
    <w:pPr>
      <w:keepNext/>
      <w:keepLines/>
      <w:spacing w:before="340" w:after="330" w:line="578" w:lineRule="auto"/>
      <w:outlineLvl w:val="0"/>
    </w:pPr>
    <w:rPr>
      <w:b/>
      <w:bCs/>
      <w:kern w:val="44"/>
      <w:sz w:val="44"/>
      <w:szCs w:val="44"/>
    </w:rPr>
  </w:style>
  <w:style w:type="paragraph" w:styleId="4">
    <w:name w:val="heading 2"/>
    <w:basedOn w:val="1"/>
    <w:next w:val="1"/>
    <w:qFormat/>
    <w:uiPriority w:val="0"/>
    <w:pPr>
      <w:keepNext/>
      <w:keepLines/>
      <w:spacing w:before="260" w:after="260" w:line="415" w:lineRule="auto"/>
      <w:outlineLvl w:val="1"/>
    </w:pPr>
    <w:rPr>
      <w:rFonts w:ascii="Arial" w:hAnsi="Arial" w:eastAsia="黑体" w:cs="Arial"/>
      <w:b/>
      <w:bCs/>
      <w:sz w:val="32"/>
      <w:szCs w:val="32"/>
    </w:rPr>
  </w:style>
  <w:style w:type="paragraph" w:styleId="5">
    <w:name w:val="heading 3"/>
    <w:basedOn w:val="1"/>
    <w:next w:val="1"/>
    <w:link w:val="51"/>
    <w:semiHidden/>
    <w:unhideWhenUsed/>
    <w:qFormat/>
    <w:uiPriority w:val="9"/>
    <w:pPr>
      <w:keepNext/>
      <w:keepLines/>
      <w:spacing w:before="260" w:after="260" w:line="416" w:lineRule="auto"/>
      <w:outlineLvl w:val="2"/>
    </w:pPr>
    <w:rPr>
      <w:b/>
      <w:bCs/>
      <w:sz w:val="32"/>
      <w:szCs w:val="32"/>
    </w:rPr>
  </w:style>
  <w:style w:type="paragraph" w:styleId="6">
    <w:name w:val="heading 4"/>
    <w:basedOn w:val="1"/>
    <w:next w:val="1"/>
    <w:link w:val="56"/>
    <w:qFormat/>
    <w:uiPriority w:val="0"/>
    <w:pPr>
      <w:keepNext/>
      <w:keepLines/>
      <w:spacing w:before="280" w:after="290" w:line="376" w:lineRule="auto"/>
      <w:outlineLvl w:val="3"/>
    </w:pPr>
    <w:rPr>
      <w:b/>
      <w:bCs/>
      <w:sz w:val="28"/>
      <w:szCs w:val="28"/>
    </w:rPr>
  </w:style>
  <w:style w:type="character" w:default="1" w:styleId="27">
    <w:name w:val="Default Paragraph Font"/>
    <w:unhideWhenUsed/>
    <w:qFormat/>
    <w:uiPriority w:val="1"/>
  </w:style>
  <w:style w:type="table" w:default="1" w:styleId="25">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pPr>
      <w:spacing w:after="120"/>
      <w:ind w:firstLine="482" w:firstLineChars="200"/>
    </w:pPr>
    <w:rPr>
      <w:rFonts w:ascii="宋体" w:hAnsi="宋体" w:eastAsia="宋体"/>
      <w:b/>
      <w:color w:val="000000"/>
      <w:kern w:val="0"/>
      <w:sz w:val="24"/>
      <w:szCs w:val="18"/>
    </w:rPr>
  </w:style>
  <w:style w:type="paragraph" w:styleId="7">
    <w:name w:val="Normal Indent"/>
    <w:basedOn w:val="1"/>
    <w:qFormat/>
    <w:uiPriority w:val="0"/>
    <w:pPr>
      <w:autoSpaceDE w:val="0"/>
      <w:autoSpaceDN w:val="0"/>
      <w:adjustRightInd w:val="0"/>
      <w:ind w:firstLine="420"/>
      <w:jc w:val="left"/>
    </w:pPr>
    <w:rPr>
      <w:rFonts w:ascii="宋体" w:hAnsi="Times New Roman" w:eastAsia="宋体" w:cs="Times New Roman"/>
      <w:kern w:val="0"/>
      <w:sz w:val="24"/>
    </w:rPr>
  </w:style>
  <w:style w:type="paragraph" w:styleId="8">
    <w:name w:val="annotation text"/>
    <w:basedOn w:val="1"/>
    <w:link w:val="48"/>
    <w:qFormat/>
    <w:uiPriority w:val="0"/>
    <w:pPr>
      <w:jc w:val="left"/>
    </w:pPr>
    <w:rPr>
      <w:rFonts w:ascii="Arial" w:hAnsi="Arial" w:eastAsia="黑体" w:cs="Arial"/>
    </w:rPr>
  </w:style>
  <w:style w:type="paragraph" w:styleId="9">
    <w:name w:val="Body Text Indent"/>
    <w:basedOn w:val="1"/>
    <w:next w:val="10"/>
    <w:qFormat/>
    <w:uiPriority w:val="0"/>
    <w:pPr>
      <w:spacing w:after="120"/>
      <w:ind w:left="420" w:leftChars="200"/>
    </w:pPr>
  </w:style>
  <w:style w:type="paragraph" w:styleId="10">
    <w:name w:val="envelope return"/>
    <w:basedOn w:val="1"/>
    <w:qFormat/>
    <w:uiPriority w:val="0"/>
    <w:pPr>
      <w:adjustRightInd w:val="0"/>
      <w:snapToGrid w:val="0"/>
      <w:spacing w:line="360" w:lineRule="auto"/>
      <w:ind w:firstLine="200" w:firstLineChars="200"/>
    </w:pPr>
    <w:rPr>
      <w:rFonts w:ascii="Cambria" w:hAnsi="Cambria"/>
      <w:sz w:val="24"/>
      <w:szCs w:val="24"/>
    </w:rPr>
  </w:style>
  <w:style w:type="paragraph" w:styleId="11">
    <w:name w:val="toc 3"/>
    <w:basedOn w:val="1"/>
    <w:next w:val="1"/>
    <w:unhideWhenUsed/>
    <w:qFormat/>
    <w:uiPriority w:val="39"/>
    <w:pPr>
      <w:widowControl/>
      <w:spacing w:after="100" w:line="276" w:lineRule="auto"/>
      <w:ind w:left="440"/>
      <w:jc w:val="left"/>
    </w:pPr>
    <w:rPr>
      <w:rFonts w:asciiTheme="minorHAnsi" w:hAnsiTheme="minorHAnsi" w:eastAsiaTheme="minorEastAsia" w:cstheme="minorBidi"/>
      <w:kern w:val="0"/>
      <w:sz w:val="22"/>
      <w:szCs w:val="22"/>
    </w:rPr>
  </w:style>
  <w:style w:type="paragraph" w:styleId="12">
    <w:name w:val="Plain Text"/>
    <w:basedOn w:val="1"/>
    <w:link w:val="38"/>
    <w:qFormat/>
    <w:uiPriority w:val="99"/>
    <w:rPr>
      <w:rFonts w:ascii="宋体" w:hAnsi="Courier New" w:eastAsiaTheme="minorEastAsia" w:cstheme="minorBidi"/>
      <w:szCs w:val="22"/>
    </w:rPr>
  </w:style>
  <w:style w:type="paragraph" w:styleId="13">
    <w:name w:val="Date"/>
    <w:basedOn w:val="1"/>
    <w:next w:val="1"/>
    <w:link w:val="45"/>
    <w:qFormat/>
    <w:uiPriority w:val="0"/>
    <w:rPr>
      <w:rFonts w:ascii="Arial" w:hAnsi="Arial" w:eastAsia="宋体" w:cs="Arial"/>
      <w:b/>
      <w:sz w:val="28"/>
    </w:rPr>
  </w:style>
  <w:style w:type="paragraph" w:styleId="14">
    <w:name w:val="Balloon Text"/>
    <w:basedOn w:val="1"/>
    <w:link w:val="32"/>
    <w:semiHidden/>
    <w:unhideWhenUsed/>
    <w:qFormat/>
    <w:uiPriority w:val="99"/>
    <w:rPr>
      <w:sz w:val="18"/>
      <w:szCs w:val="18"/>
    </w:rPr>
  </w:style>
  <w:style w:type="paragraph" w:styleId="15">
    <w:name w:val="footer"/>
    <w:basedOn w:val="1"/>
    <w:link w:val="37"/>
    <w:unhideWhenUsed/>
    <w:qFormat/>
    <w:uiPriority w:val="99"/>
    <w:pPr>
      <w:tabs>
        <w:tab w:val="center" w:pos="4153"/>
        <w:tab w:val="right" w:pos="8306"/>
      </w:tabs>
      <w:snapToGrid w:val="0"/>
      <w:jc w:val="left"/>
    </w:pPr>
    <w:rPr>
      <w:sz w:val="18"/>
      <w:szCs w:val="18"/>
    </w:rPr>
  </w:style>
  <w:style w:type="paragraph" w:styleId="16">
    <w:name w:val="header"/>
    <w:basedOn w:val="1"/>
    <w:link w:val="36"/>
    <w:unhideWhenUsed/>
    <w:qFormat/>
    <w:uiPriority w:val="99"/>
    <w:pPr>
      <w:pBdr>
        <w:bottom w:val="single" w:color="auto" w:sz="6" w:space="1"/>
      </w:pBdr>
      <w:tabs>
        <w:tab w:val="center" w:pos="4153"/>
        <w:tab w:val="right" w:pos="8306"/>
      </w:tabs>
      <w:snapToGrid w:val="0"/>
      <w:jc w:val="center"/>
    </w:pPr>
    <w:rPr>
      <w:sz w:val="18"/>
      <w:szCs w:val="18"/>
    </w:rPr>
  </w:style>
  <w:style w:type="paragraph" w:styleId="17">
    <w:name w:val="toc 1"/>
    <w:basedOn w:val="1"/>
    <w:next w:val="1"/>
    <w:unhideWhenUsed/>
    <w:qFormat/>
    <w:uiPriority w:val="39"/>
    <w:pPr>
      <w:widowControl/>
      <w:spacing w:after="100" w:line="276" w:lineRule="auto"/>
      <w:jc w:val="left"/>
    </w:pPr>
    <w:rPr>
      <w:rFonts w:asciiTheme="minorHAnsi" w:hAnsiTheme="minorHAnsi" w:eastAsiaTheme="minorEastAsia" w:cstheme="minorBidi"/>
      <w:kern w:val="0"/>
      <w:sz w:val="22"/>
      <w:szCs w:val="22"/>
    </w:rPr>
  </w:style>
  <w:style w:type="paragraph" w:styleId="18">
    <w:name w:val="toc 2"/>
    <w:basedOn w:val="1"/>
    <w:next w:val="1"/>
    <w:unhideWhenUsed/>
    <w:qFormat/>
    <w:uiPriority w:val="39"/>
    <w:pPr>
      <w:widowControl/>
      <w:spacing w:after="100" w:line="276" w:lineRule="auto"/>
      <w:ind w:left="220"/>
      <w:jc w:val="left"/>
    </w:pPr>
    <w:rPr>
      <w:rFonts w:asciiTheme="minorHAnsi" w:hAnsiTheme="minorHAnsi" w:eastAsiaTheme="minorEastAsia" w:cstheme="minorBidi"/>
      <w:kern w:val="0"/>
      <w:sz w:val="22"/>
      <w:szCs w:val="22"/>
    </w:rPr>
  </w:style>
  <w:style w:type="paragraph" w:styleId="19">
    <w:name w:val="Normal (Web)"/>
    <w:basedOn w:val="1"/>
    <w:qFormat/>
    <w:uiPriority w:val="0"/>
    <w:pPr>
      <w:spacing w:before="100" w:beforeAutospacing="1" w:after="100" w:afterAutospacing="1"/>
      <w:jc w:val="left"/>
    </w:pPr>
    <w:rPr>
      <w:rFonts w:cs="Times New Roman"/>
      <w:kern w:val="0"/>
      <w:sz w:val="24"/>
    </w:rPr>
  </w:style>
  <w:style w:type="paragraph" w:styleId="20">
    <w:name w:val="index 1"/>
    <w:basedOn w:val="1"/>
    <w:next w:val="1"/>
    <w:qFormat/>
    <w:uiPriority w:val="0"/>
    <w:pPr>
      <w:jc w:val="center"/>
    </w:pPr>
    <w:rPr>
      <w:rFonts w:ascii="Arial" w:hAnsi="Arial" w:eastAsia="Arial" w:cs="Arial"/>
      <w:b/>
      <w:bCs/>
      <w:sz w:val="28"/>
    </w:rPr>
  </w:style>
  <w:style w:type="paragraph" w:styleId="21">
    <w:name w:val="Title"/>
    <w:basedOn w:val="1"/>
    <w:next w:val="1"/>
    <w:link w:val="64"/>
    <w:qFormat/>
    <w:uiPriority w:val="0"/>
    <w:pPr>
      <w:tabs>
        <w:tab w:val="left" w:pos="425"/>
        <w:tab w:val="left" w:pos="840"/>
      </w:tabs>
      <w:spacing w:before="240" w:after="60"/>
      <w:ind w:left="425" w:hanging="425"/>
      <w:jc w:val="center"/>
      <w:outlineLvl w:val="0"/>
    </w:pPr>
    <w:rPr>
      <w:rFonts w:ascii="黑体" w:hAnsi="Arial" w:eastAsia="黑体" w:cs="Times New Roman"/>
      <w:bCs/>
      <w:kern w:val="0"/>
      <w:sz w:val="32"/>
      <w:szCs w:val="32"/>
    </w:rPr>
  </w:style>
  <w:style w:type="paragraph" w:styleId="22">
    <w:name w:val="annotation subject"/>
    <w:basedOn w:val="8"/>
    <w:next w:val="8"/>
    <w:link w:val="59"/>
    <w:semiHidden/>
    <w:unhideWhenUsed/>
    <w:qFormat/>
    <w:uiPriority w:val="99"/>
    <w:rPr>
      <w:rFonts w:ascii="@仿宋_GB2312" w:hAnsi="@仿宋_GB2312" w:eastAsia="@仿宋_GB2312" w:cs="@仿宋_GB2312"/>
      <w:b/>
      <w:bCs/>
    </w:rPr>
  </w:style>
  <w:style w:type="paragraph" w:styleId="23">
    <w:name w:val="Body Text First Indent"/>
    <w:basedOn w:val="2"/>
    <w:unhideWhenUsed/>
    <w:qFormat/>
    <w:uiPriority w:val="99"/>
    <w:pPr>
      <w:ind w:firstLine="420" w:firstLineChars="100"/>
    </w:pPr>
  </w:style>
  <w:style w:type="paragraph" w:styleId="24">
    <w:name w:val="Body Text First Indent 2"/>
    <w:basedOn w:val="9"/>
    <w:qFormat/>
    <w:uiPriority w:val="0"/>
    <w:pPr>
      <w:adjustRightInd w:val="0"/>
      <w:snapToGrid w:val="0"/>
      <w:spacing w:line="360" w:lineRule="auto"/>
      <w:ind w:firstLine="420" w:firstLineChars="200"/>
    </w:pPr>
    <w:rPr>
      <w:rFonts w:eastAsia="宋体"/>
      <w:sz w:val="24"/>
      <w:szCs w:val="24"/>
    </w:rPr>
  </w:style>
  <w:style w:type="table" w:styleId="26">
    <w:name w:val="Table Grid"/>
    <w:basedOn w:val="25"/>
    <w:unhideWhenUsed/>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8">
    <w:name w:val="Strong"/>
    <w:qFormat/>
    <w:uiPriority w:val="0"/>
    <w:rPr>
      <w:b/>
      <w:bCs/>
    </w:rPr>
  </w:style>
  <w:style w:type="character" w:styleId="29">
    <w:name w:val="Emphasis"/>
    <w:basedOn w:val="27"/>
    <w:qFormat/>
    <w:uiPriority w:val="0"/>
    <w:rPr>
      <w:i/>
    </w:rPr>
  </w:style>
  <w:style w:type="character" w:styleId="30">
    <w:name w:val="Hyperlink"/>
    <w:basedOn w:val="27"/>
    <w:unhideWhenUsed/>
    <w:qFormat/>
    <w:uiPriority w:val="99"/>
    <w:rPr>
      <w:color w:val="0000FF" w:themeColor="hyperlink"/>
      <w:u w:val="single"/>
      <w14:textFill>
        <w14:solidFill>
          <w14:schemeClr w14:val="hlink"/>
        </w14:solidFill>
      </w14:textFill>
    </w:rPr>
  </w:style>
  <w:style w:type="character" w:styleId="31">
    <w:name w:val="annotation reference"/>
    <w:basedOn w:val="27"/>
    <w:semiHidden/>
    <w:unhideWhenUsed/>
    <w:qFormat/>
    <w:uiPriority w:val="99"/>
    <w:rPr>
      <w:sz w:val="21"/>
      <w:szCs w:val="21"/>
    </w:rPr>
  </w:style>
  <w:style w:type="character" w:customStyle="1" w:styleId="32">
    <w:name w:val="批注框文本 字符"/>
    <w:basedOn w:val="27"/>
    <w:link w:val="14"/>
    <w:semiHidden/>
    <w:qFormat/>
    <w:uiPriority w:val="99"/>
    <w:rPr>
      <w:rFonts w:ascii="@仿宋_GB2312" w:hAnsi="@仿宋_GB2312" w:eastAsia="@仿宋_GB2312" w:cs="@仿宋_GB2312"/>
      <w:sz w:val="18"/>
      <w:szCs w:val="18"/>
    </w:rPr>
  </w:style>
  <w:style w:type="paragraph" w:customStyle="1" w:styleId="33">
    <w:name w:val="正文（缩进）"/>
    <w:basedOn w:val="1"/>
    <w:qFormat/>
    <w:uiPriority w:val="0"/>
    <w:pPr>
      <w:widowControl/>
      <w:spacing w:before="156" w:after="156"/>
      <w:ind w:firstLine="480" w:firstLineChars="200"/>
      <w:jc w:val="left"/>
    </w:pPr>
    <w:rPr>
      <w:kern w:val="0"/>
      <w:sz w:val="24"/>
      <w:szCs w:val="24"/>
    </w:rPr>
  </w:style>
  <w:style w:type="paragraph" w:customStyle="1" w:styleId="34">
    <w:name w:val="xl31"/>
    <w:basedOn w:val="1"/>
    <w:qFormat/>
    <w:uiPriority w:val="0"/>
    <w:pPr>
      <w:ind w:firstLine="465"/>
    </w:pPr>
    <w:rPr>
      <w:rFonts w:ascii="宋体" w:hAnsi="宋体" w:eastAsia="宋体"/>
      <w:kern w:val="0"/>
      <w:sz w:val="24"/>
      <w:szCs w:val="28"/>
    </w:rPr>
  </w:style>
  <w:style w:type="paragraph" w:customStyle="1" w:styleId="35">
    <w:name w:val="D&amp;L"/>
    <w:basedOn w:val="16"/>
    <w:qFormat/>
    <w:uiPriority w:val="0"/>
    <w:pPr>
      <w:pBdr>
        <w:bottom w:val="thinThickSmallGap" w:color="auto" w:sz="18" w:space="1"/>
      </w:pBdr>
      <w:adjustRightInd w:val="0"/>
      <w:snapToGrid/>
      <w:spacing w:line="240" w:lineRule="atLeast"/>
      <w:textAlignment w:val="baseline"/>
    </w:pPr>
    <w:rPr>
      <w:kern w:val="0"/>
      <w:sz w:val="24"/>
      <w:szCs w:val="20"/>
    </w:rPr>
  </w:style>
  <w:style w:type="character" w:customStyle="1" w:styleId="36">
    <w:name w:val="页眉 字符"/>
    <w:basedOn w:val="27"/>
    <w:link w:val="16"/>
    <w:qFormat/>
    <w:uiPriority w:val="99"/>
    <w:rPr>
      <w:rFonts w:ascii="@仿宋_GB2312" w:hAnsi="@仿宋_GB2312" w:eastAsia="@仿宋_GB2312" w:cs="@仿宋_GB2312"/>
      <w:sz w:val="18"/>
      <w:szCs w:val="18"/>
    </w:rPr>
  </w:style>
  <w:style w:type="character" w:customStyle="1" w:styleId="37">
    <w:name w:val="页脚 字符"/>
    <w:basedOn w:val="27"/>
    <w:link w:val="15"/>
    <w:qFormat/>
    <w:uiPriority w:val="99"/>
    <w:rPr>
      <w:rFonts w:ascii="@仿宋_GB2312" w:hAnsi="@仿宋_GB2312" w:eastAsia="@仿宋_GB2312" w:cs="@仿宋_GB2312"/>
      <w:sz w:val="18"/>
      <w:szCs w:val="18"/>
    </w:rPr>
  </w:style>
  <w:style w:type="character" w:customStyle="1" w:styleId="38">
    <w:name w:val="纯文本 字符"/>
    <w:link w:val="12"/>
    <w:qFormat/>
    <w:uiPriority w:val="0"/>
    <w:rPr>
      <w:rFonts w:ascii="宋体" w:hAnsi="Courier New"/>
    </w:rPr>
  </w:style>
  <w:style w:type="character" w:customStyle="1" w:styleId="39">
    <w:name w:val="纯文本 字符1"/>
    <w:basedOn w:val="27"/>
    <w:semiHidden/>
    <w:qFormat/>
    <w:uiPriority w:val="99"/>
    <w:rPr>
      <w:rFonts w:hAnsi="Courier New" w:cs="Courier New" w:asciiTheme="minorEastAsia"/>
      <w:szCs w:val="20"/>
    </w:rPr>
  </w:style>
  <w:style w:type="character" w:customStyle="1" w:styleId="40">
    <w:name w:val="未处理的提及1"/>
    <w:basedOn w:val="27"/>
    <w:semiHidden/>
    <w:unhideWhenUsed/>
    <w:qFormat/>
    <w:uiPriority w:val="99"/>
    <w:rPr>
      <w:color w:val="605E5C"/>
      <w:shd w:val="clear" w:color="auto" w:fill="E1DFDD"/>
    </w:rPr>
  </w:style>
  <w:style w:type="paragraph" w:styleId="41">
    <w:name w:val="List Paragraph"/>
    <w:basedOn w:val="1"/>
    <w:qFormat/>
    <w:uiPriority w:val="34"/>
    <w:pPr>
      <w:ind w:firstLine="420" w:firstLineChars="200"/>
    </w:pPr>
  </w:style>
  <w:style w:type="paragraph" w:customStyle="1" w:styleId="42">
    <w:name w:val="Char Char Char Char Char Char Char1 Char"/>
    <w:basedOn w:val="1"/>
    <w:qFormat/>
    <w:uiPriority w:val="0"/>
    <w:rPr>
      <w:rFonts w:ascii="Arial" w:hAnsi="Arial" w:eastAsia="宋体" w:cs="Arial"/>
      <w:sz w:val="24"/>
    </w:rPr>
  </w:style>
  <w:style w:type="table" w:customStyle="1" w:styleId="43">
    <w:name w:val="网格表 1 浅色1"/>
    <w:basedOn w:val="25"/>
    <w:qFormat/>
    <w:uiPriority w:val="46"/>
    <w:tblPr>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cPr>
        <w:tcBorders>
          <w:bottom w:val="single" w:color="666666" w:themeColor="text1" w:themeTint="99" w:sz="12" w:space="0"/>
        </w:tcBorders>
      </w:tcPr>
    </w:tblStylePr>
    <w:tblStylePr w:type="lastRow">
      <w:rPr>
        <w:b/>
        <w:bCs/>
      </w:rPr>
      <w:tcPr>
        <w:tcBorders>
          <w:top w:val="double" w:color="666666" w:themeColor="text1" w:themeTint="99" w:sz="2" w:space="0"/>
        </w:tcBorders>
      </w:tcPr>
    </w:tblStylePr>
    <w:tblStylePr w:type="firstCol">
      <w:rPr>
        <w:b/>
        <w:bCs/>
      </w:rPr>
    </w:tblStylePr>
    <w:tblStylePr w:type="lastCol">
      <w:rPr>
        <w:b/>
        <w:bCs/>
      </w:rPr>
    </w:tblStylePr>
  </w:style>
  <w:style w:type="character" w:customStyle="1" w:styleId="44">
    <w:name w:val="日期 字符"/>
    <w:basedOn w:val="27"/>
    <w:semiHidden/>
    <w:qFormat/>
    <w:uiPriority w:val="99"/>
    <w:rPr>
      <w:rFonts w:ascii="@仿宋_GB2312" w:hAnsi="@仿宋_GB2312" w:eastAsia="@仿宋_GB2312" w:cs="@仿宋_GB2312"/>
      <w:szCs w:val="20"/>
    </w:rPr>
  </w:style>
  <w:style w:type="character" w:customStyle="1" w:styleId="45">
    <w:name w:val="日期 字符1"/>
    <w:link w:val="13"/>
    <w:qFormat/>
    <w:uiPriority w:val="0"/>
    <w:rPr>
      <w:rFonts w:ascii="Arial" w:hAnsi="Arial" w:eastAsia="宋体" w:cs="Arial"/>
      <w:b/>
      <w:sz w:val="28"/>
      <w:szCs w:val="20"/>
    </w:rPr>
  </w:style>
  <w:style w:type="character" w:customStyle="1" w:styleId="46">
    <w:name w:val="纯文本 Char1"/>
    <w:qFormat/>
    <w:locked/>
    <w:uiPriority w:val="99"/>
    <w:rPr>
      <w:rFonts w:ascii="Arial" w:hAnsi="Arial" w:eastAsia="Arial"/>
      <w:kern w:val="2"/>
      <w:sz w:val="21"/>
      <w:lang w:val="en-US" w:eastAsia="zh-CN" w:bidi="ar-SA"/>
    </w:rPr>
  </w:style>
  <w:style w:type="character" w:customStyle="1" w:styleId="47">
    <w:name w:val="批注文字 Char"/>
    <w:basedOn w:val="27"/>
    <w:semiHidden/>
    <w:qFormat/>
    <w:uiPriority w:val="99"/>
    <w:rPr>
      <w:rFonts w:ascii="@仿宋_GB2312" w:hAnsi="@仿宋_GB2312" w:eastAsia="@仿宋_GB2312" w:cs="@仿宋_GB2312"/>
      <w:szCs w:val="20"/>
    </w:rPr>
  </w:style>
  <w:style w:type="character" w:customStyle="1" w:styleId="48">
    <w:name w:val="批注文字 字符"/>
    <w:link w:val="8"/>
    <w:qFormat/>
    <w:uiPriority w:val="0"/>
    <w:rPr>
      <w:rFonts w:ascii="Arial" w:hAnsi="Arial" w:eastAsia="黑体" w:cs="Arial"/>
      <w:szCs w:val="20"/>
    </w:rPr>
  </w:style>
  <w:style w:type="character" w:customStyle="1" w:styleId="49">
    <w:name w:val="标题 1 字符"/>
    <w:basedOn w:val="27"/>
    <w:link w:val="3"/>
    <w:qFormat/>
    <w:uiPriority w:val="9"/>
    <w:rPr>
      <w:rFonts w:ascii="@仿宋_GB2312" w:hAnsi="@仿宋_GB2312" w:eastAsia="@仿宋_GB2312" w:cs="@仿宋_GB2312"/>
      <w:b/>
      <w:bCs/>
      <w:kern w:val="44"/>
      <w:sz w:val="44"/>
      <w:szCs w:val="44"/>
    </w:rPr>
  </w:style>
  <w:style w:type="paragraph" w:customStyle="1" w:styleId="50">
    <w:name w:val="TOC 标题1"/>
    <w:basedOn w:val="3"/>
    <w:next w:val="1"/>
    <w:semiHidden/>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51">
    <w:name w:val="标题 3 字符"/>
    <w:basedOn w:val="27"/>
    <w:link w:val="5"/>
    <w:semiHidden/>
    <w:qFormat/>
    <w:uiPriority w:val="9"/>
    <w:rPr>
      <w:rFonts w:ascii="@仿宋_GB2312" w:hAnsi="@仿宋_GB2312" w:eastAsia="@仿宋_GB2312" w:cs="@仿宋_GB2312"/>
      <w:b/>
      <w:bCs/>
      <w:sz w:val="32"/>
      <w:szCs w:val="32"/>
    </w:rPr>
  </w:style>
  <w:style w:type="character" w:customStyle="1" w:styleId="52">
    <w:name w:val="fontstyle01"/>
    <w:basedOn w:val="27"/>
    <w:qFormat/>
    <w:uiPriority w:val="0"/>
    <w:rPr>
      <w:rFonts w:hint="eastAsia" w:ascii="宋体" w:hAnsi="宋体" w:eastAsia="宋体"/>
      <w:color w:val="000000"/>
      <w:sz w:val="22"/>
      <w:szCs w:val="22"/>
    </w:rPr>
  </w:style>
  <w:style w:type="character" w:customStyle="1" w:styleId="53">
    <w:name w:val="fontstyle21"/>
    <w:basedOn w:val="27"/>
    <w:qFormat/>
    <w:uiPriority w:val="0"/>
    <w:rPr>
      <w:rFonts w:hint="default" w:ascii="TimesNewRomanPSMT" w:hAnsi="TimesNewRomanPSMT"/>
      <w:color w:val="000000"/>
      <w:sz w:val="22"/>
      <w:szCs w:val="22"/>
    </w:rPr>
  </w:style>
  <w:style w:type="character" w:customStyle="1" w:styleId="54">
    <w:name w:val="正文文本 (2) + Sylfaen2"/>
    <w:qFormat/>
    <w:uiPriority w:val="99"/>
    <w:rPr>
      <w:rFonts w:ascii="Sylfaen" w:hAnsi="Sylfaen" w:eastAsia="MingLiU" w:cs="Sylfaen"/>
      <w:spacing w:val="0"/>
      <w:sz w:val="23"/>
      <w:szCs w:val="23"/>
      <w:shd w:val="clear" w:color="auto" w:fill="FFFFFF"/>
      <w:lang w:val="en-US" w:eastAsia="en-US"/>
    </w:rPr>
  </w:style>
  <w:style w:type="character" w:customStyle="1" w:styleId="55">
    <w:name w:val="标题 4 字符"/>
    <w:basedOn w:val="27"/>
    <w:semiHidden/>
    <w:qFormat/>
    <w:uiPriority w:val="9"/>
    <w:rPr>
      <w:rFonts w:asciiTheme="majorHAnsi" w:hAnsiTheme="majorHAnsi" w:eastAsiaTheme="majorEastAsia" w:cstheme="majorBidi"/>
      <w:b/>
      <w:bCs/>
      <w:sz w:val="28"/>
      <w:szCs w:val="28"/>
    </w:rPr>
  </w:style>
  <w:style w:type="character" w:customStyle="1" w:styleId="56">
    <w:name w:val="标题 4 字符1"/>
    <w:link w:val="6"/>
    <w:qFormat/>
    <w:uiPriority w:val="0"/>
    <w:rPr>
      <w:rFonts w:ascii="@仿宋_GB2312" w:hAnsi="@仿宋_GB2312" w:eastAsia="@仿宋_GB2312" w:cs="@仿宋_GB2312"/>
      <w:b/>
      <w:bCs/>
      <w:sz w:val="28"/>
      <w:szCs w:val="28"/>
    </w:rPr>
  </w:style>
  <w:style w:type="character" w:customStyle="1" w:styleId="57">
    <w:name w:val="标题 4 Char"/>
    <w:qFormat/>
    <w:uiPriority w:val="0"/>
    <w:rPr>
      <w:rFonts w:ascii="Arial" w:hAnsi="Arial" w:eastAsia="Arial"/>
      <w:b/>
      <w:bCs/>
      <w:kern w:val="2"/>
      <w:sz w:val="28"/>
      <w:szCs w:val="28"/>
      <w:lang w:val="en-US" w:eastAsia="zh-CN" w:bidi="ar-SA"/>
    </w:rPr>
  </w:style>
  <w:style w:type="table" w:customStyle="1" w:styleId="58">
    <w:name w:val="网格型1"/>
    <w:basedOn w:val="2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59">
    <w:name w:val="批注主题 字符"/>
    <w:basedOn w:val="48"/>
    <w:link w:val="22"/>
    <w:semiHidden/>
    <w:qFormat/>
    <w:uiPriority w:val="99"/>
    <w:rPr>
      <w:rFonts w:ascii="@仿宋_GB2312" w:hAnsi="@仿宋_GB2312" w:eastAsia="@仿宋_GB2312" w:cs="@仿宋_GB2312"/>
      <w:b/>
      <w:bCs/>
      <w:szCs w:val="20"/>
    </w:rPr>
  </w:style>
  <w:style w:type="table" w:customStyle="1" w:styleId="60">
    <w:name w:val="Table Normal"/>
    <w:semiHidden/>
    <w:unhideWhenUsed/>
    <w:qFormat/>
    <w:uiPriority w:val="0"/>
    <w:tblPr>
      <w:tblCellMar>
        <w:top w:w="0" w:type="dxa"/>
        <w:left w:w="0" w:type="dxa"/>
        <w:bottom w:w="0" w:type="dxa"/>
        <w:right w:w="0" w:type="dxa"/>
      </w:tblCellMar>
    </w:tblPr>
  </w:style>
  <w:style w:type="paragraph" w:customStyle="1" w:styleId="61">
    <w:name w:val="Table Text"/>
    <w:basedOn w:val="1"/>
    <w:semiHidden/>
    <w:qFormat/>
    <w:uiPriority w:val="0"/>
    <w:rPr>
      <w:rFonts w:ascii="Arial" w:hAnsi="Arial" w:eastAsia="Arial" w:cs="Arial"/>
      <w:szCs w:val="21"/>
      <w:lang w:eastAsia="en-US"/>
    </w:rPr>
  </w:style>
  <w:style w:type="paragraph" w:customStyle="1" w:styleId="62">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63">
    <w:name w:val="列出段落1"/>
    <w:basedOn w:val="1"/>
    <w:qFormat/>
    <w:uiPriority w:val="0"/>
    <w:pPr>
      <w:ind w:firstLine="420" w:firstLineChars="200"/>
    </w:pPr>
    <w:rPr>
      <w:szCs w:val="21"/>
    </w:rPr>
  </w:style>
  <w:style w:type="character" w:customStyle="1" w:styleId="64">
    <w:name w:val="标题 字符"/>
    <w:basedOn w:val="27"/>
    <w:link w:val="21"/>
    <w:qFormat/>
    <w:uiPriority w:val="0"/>
    <w:rPr>
      <w:rFonts w:ascii="黑体" w:hAnsi="Arial" w:eastAsia="黑体"/>
      <w:bCs/>
      <w:sz w:val="32"/>
      <w:szCs w:val="32"/>
    </w:rPr>
  </w:style>
  <w:style w:type="paragraph" w:customStyle="1" w:styleId="65">
    <w:name w:val="正文_0"/>
    <w:qFormat/>
    <w:uiPriority w:val="0"/>
    <w:pPr>
      <w:widowControl w:val="0"/>
      <w:jc w:val="both"/>
    </w:pPr>
    <w:rPr>
      <w:rFonts w:ascii="Tahoma" w:hAnsi="Tahoma" w:eastAsia="宋体" w:cs="Tahoma"/>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2.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theme" Target="theme/theme1.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header" Target="head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37338D1-9432-4774-91AD-C012A9D1A6C4}">
  <ds:schemaRefs/>
</ds:datastoreItem>
</file>

<file path=docProps/app.xml><?xml version="1.0" encoding="utf-8"?>
<Properties xmlns="http://schemas.openxmlformats.org/officeDocument/2006/extended-properties" xmlns:vt="http://schemas.openxmlformats.org/officeDocument/2006/docPropsVTypes">
  <Template>Normal</Template>
  <Company>akoosky</Company>
  <Pages>205</Pages>
  <Words>18249</Words>
  <Characters>20050</Characters>
  <Lines>1708</Lines>
  <Paragraphs>1683</Paragraphs>
  <TotalTime>7</TotalTime>
  <ScaleCrop>false</ScaleCrop>
  <LinksUpToDate>false</LinksUpToDate>
  <CharactersWithSpaces>20232</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2019-05-06T14:32:00Z</dcterms:created>
  <dc:creator>Anakin</dc:creator>
  <cp:lastModifiedBy>安徽省招标集团股份有限公司</cp:lastModifiedBy>
  <cp:lastPrinted>2026-02-03T07:06:00Z</cp:lastPrinted>
  <dcterms:modified xsi:type="dcterms:W3CDTF">2026-06-17T09:19:43Z</dcterms:modified>
  <cp:revision>432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20126CDA46D045AF9B610D2F71354038_13</vt:lpwstr>
  </property>
  <property fmtid="{D5CDD505-2E9C-101B-9397-08002B2CF9AE}" pid="4" name="KSOTemplateDocerSaveRecord">
    <vt:lpwstr>eyJoZGlkIjoiYWVmNGI1ZWNmYWU5ZWVmN2U5YzcwOGQyYjA4NzU0YjAiLCJ1c2VySWQiOiIzOTY0MDU5NzUifQ==</vt:lpwstr>
  </property>
</Properties>
</file>